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A51EA" w14:textId="31A0757D" w:rsidR="001C5469" w:rsidRDefault="001C5469" w:rsidP="001C5469">
      <w:pPr>
        <w:tabs>
          <w:tab w:val="right" w:pos="9630"/>
        </w:tabs>
        <w:spacing w:after="0"/>
        <w:rPr>
          <w:rFonts w:ascii="Arial" w:hAnsi="Arial" w:cs="Arial"/>
          <w:b/>
          <w:sz w:val="24"/>
          <w:szCs w:val="24"/>
        </w:rPr>
      </w:pPr>
      <w:bookmarkStart w:id="0" w:name="_GoBack"/>
      <w:bookmarkEnd w:id="0"/>
      <w:r w:rsidRPr="000A64D8">
        <w:rPr>
          <w:rFonts w:ascii="Arial" w:hAnsi="Arial" w:cs="Arial"/>
          <w:b/>
          <w:sz w:val="24"/>
          <w:szCs w:val="24"/>
        </w:rPr>
        <w:t xml:space="preserve">3GPP TSG-RAN WG1 </w:t>
      </w:r>
      <w:r>
        <w:rPr>
          <w:rFonts w:ascii="Arial" w:hAnsi="Arial" w:cs="Arial"/>
          <w:b/>
          <w:sz w:val="24"/>
          <w:szCs w:val="24"/>
        </w:rPr>
        <w:t>NR#2</w:t>
      </w:r>
      <w:r w:rsidRPr="000A64D8">
        <w:rPr>
          <w:rFonts w:ascii="Arial" w:hAnsi="Arial" w:cs="Arial"/>
          <w:b/>
          <w:sz w:val="24"/>
          <w:szCs w:val="24"/>
        </w:rPr>
        <w:tab/>
      </w:r>
      <w:r w:rsidR="00FC3BFF" w:rsidRPr="00FC3BFF">
        <w:rPr>
          <w:rFonts w:ascii="Arial" w:hAnsi="Arial" w:cs="Arial"/>
          <w:b/>
          <w:sz w:val="24"/>
          <w:szCs w:val="24"/>
        </w:rPr>
        <w:t>R1-1711225</w:t>
      </w:r>
    </w:p>
    <w:p w14:paraId="081530BD" w14:textId="77777777" w:rsidR="001C5469" w:rsidRDefault="001C5469" w:rsidP="001C5469">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2FFB7503" w14:textId="77777777" w:rsidR="001C5469" w:rsidRPr="002B2276" w:rsidRDefault="001C5469" w:rsidP="001C5469">
      <w:pPr>
        <w:tabs>
          <w:tab w:val="center" w:pos="4536"/>
          <w:tab w:val="right" w:pos="9072"/>
        </w:tabs>
        <w:rPr>
          <w:rFonts w:ascii="Arial" w:eastAsia="MS Mincho" w:hAnsi="Arial" w:cs="Arial"/>
          <w:b/>
          <w:bCs/>
          <w:sz w:val="24"/>
        </w:rPr>
      </w:pPr>
      <w:r>
        <w:rPr>
          <w:rFonts w:ascii="Arial" w:hAnsi="Arial" w:cs="Arial"/>
          <w:b/>
          <w:sz w:val="24"/>
          <w:szCs w:val="24"/>
        </w:rPr>
        <w:t>Qingdao</w:t>
      </w:r>
      <w:r w:rsidRPr="00D21263">
        <w:rPr>
          <w:rFonts w:ascii="Arial" w:hAnsi="Arial" w:cs="Arial"/>
          <w:b/>
          <w:sz w:val="24"/>
          <w:szCs w:val="24"/>
        </w:rPr>
        <w:t>, P.R. China</w:t>
      </w:r>
    </w:p>
    <w:p w14:paraId="7F3BF13E" w14:textId="77777777" w:rsidR="009F0E50" w:rsidRPr="009F0E50" w:rsidRDefault="009F0E50" w:rsidP="009F0E50">
      <w:pPr>
        <w:spacing w:after="0"/>
        <w:jc w:val="both"/>
        <w:rPr>
          <w:rFonts w:ascii="Arial" w:hAnsi="Arial" w:cs="Arial"/>
          <w:b/>
          <w:sz w:val="24"/>
          <w:szCs w:val="24"/>
        </w:rPr>
      </w:pPr>
    </w:p>
    <w:p w14:paraId="7F3BF13F" w14:textId="536B594B"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CF09BB">
        <w:rPr>
          <w:rFonts w:ascii="Arial" w:hAnsi="Arial" w:cs="Arial"/>
          <w:sz w:val="24"/>
        </w:rPr>
        <w:t>5</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0B20EC">
        <w:rPr>
          <w:rFonts w:ascii="Arial" w:hAnsi="Arial" w:cs="Arial"/>
          <w:sz w:val="24"/>
        </w:rPr>
        <w:t>1</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33330358" w14:textId="77777777" w:rsidR="0021566F"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21566F" w:rsidRPr="0021566F">
        <w:rPr>
          <w:rFonts w:ascii="Arial" w:hAnsi="Arial" w:cs="Arial"/>
          <w:sz w:val="24"/>
        </w:rPr>
        <w:t>Dynamic TDD UE to UE measurement considerations</w:t>
      </w:r>
      <w:r w:rsidR="0021566F" w:rsidRPr="0021566F">
        <w:rPr>
          <w:rFonts w:ascii="Arial" w:hAnsi="Arial" w:cs="Arial"/>
          <w:b/>
          <w:sz w:val="24"/>
          <w:lang w:eastAsia="en-US"/>
        </w:rPr>
        <w:t xml:space="preserve"> </w:t>
      </w:r>
    </w:p>
    <w:p w14:paraId="7F3BF142" w14:textId="7CED8ABD"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w:t>
      </w:r>
      <w:r w:rsidR="000B20EC">
        <w:rPr>
          <w:rFonts w:ascii="Arial" w:hAnsi="Arial" w:cs="Arial"/>
          <w:sz w:val="24"/>
          <w:lang w:eastAsia="en-US"/>
        </w:rPr>
        <w:t>ion</w:t>
      </w:r>
      <w:r w:rsidR="00767083" w:rsidRPr="009D1011">
        <w:rPr>
          <w:rFonts w:ascii="Arial" w:hAnsi="Arial" w:cs="Arial"/>
          <w:sz w:val="24"/>
          <w:lang w:eastAsia="en-US"/>
        </w:rPr>
        <w:t>/Decision</w:t>
      </w:r>
    </w:p>
    <w:p w14:paraId="7F3BF143" w14:textId="4603A2FD" w:rsidR="00CD1FF7" w:rsidRDefault="00CD1FF7" w:rsidP="00B7337E">
      <w:pPr>
        <w:pStyle w:val="Heading1"/>
        <w:numPr>
          <w:ilvl w:val="0"/>
          <w:numId w:val="33"/>
        </w:numPr>
      </w:pPr>
      <w:r>
        <w:t>Introduction</w:t>
      </w:r>
    </w:p>
    <w:p w14:paraId="5D1D6551" w14:textId="4CC68513" w:rsidR="0083322F" w:rsidRPr="00F7727F" w:rsidRDefault="00153406" w:rsidP="0083322F">
      <w:pPr>
        <w:pStyle w:val="BodyText"/>
        <w:rPr>
          <w:sz w:val="22"/>
        </w:rPr>
      </w:pPr>
      <w:r w:rsidRPr="00F7727F">
        <w:rPr>
          <w:sz w:val="22"/>
        </w:rPr>
        <w:t xml:space="preserve">In NR design for TDD </w:t>
      </w:r>
      <w:r w:rsidR="00836060" w:rsidRPr="00F7727F">
        <w:rPr>
          <w:sz w:val="22"/>
        </w:rPr>
        <w:t>operation</w:t>
      </w:r>
      <w:r w:rsidRPr="00F7727F">
        <w:rPr>
          <w:sz w:val="22"/>
        </w:rPr>
        <w:t xml:space="preserve"> in unpaired spectrum, dynamic allocation of resources for DL or UL direction (dynamic TDD) </w:t>
      </w:r>
      <w:r w:rsidR="00F44D97" w:rsidRPr="00F7727F">
        <w:rPr>
          <w:sz w:val="22"/>
        </w:rPr>
        <w:t>is being studied. Dynamic TDD provides the network with the flexibility to react to variation of the downlink to uplink traffic load ratio over time and across cells</w:t>
      </w:r>
      <w:r w:rsidR="00836060" w:rsidRPr="00F7727F">
        <w:rPr>
          <w:sz w:val="22"/>
        </w:rPr>
        <w:t>, thereby providing an opportunity for improvement in latency and user-perceived throughput</w:t>
      </w:r>
      <w:r w:rsidR="00B4331A">
        <w:rPr>
          <w:sz w:val="22"/>
        </w:rPr>
        <w:t>.</w:t>
      </w:r>
    </w:p>
    <w:p w14:paraId="268B5B18" w14:textId="7D1B87B3" w:rsidR="00B4331A" w:rsidRPr="00F7727F" w:rsidRDefault="00B4331A" w:rsidP="00B4331A">
      <w:pPr>
        <w:pStyle w:val="BodyText"/>
        <w:rPr>
          <w:sz w:val="22"/>
        </w:rPr>
      </w:pPr>
      <w:r w:rsidRPr="00F7727F">
        <w:rPr>
          <w:sz w:val="22"/>
        </w:rPr>
        <w:t xml:space="preserve">However, an important challenge to take into consideration for dynamic TDD design is the </w:t>
      </w:r>
      <w:r w:rsidR="002F7A17">
        <w:rPr>
          <w:sz w:val="22"/>
        </w:rPr>
        <w:t>m</w:t>
      </w:r>
      <w:r w:rsidRPr="00F7727F">
        <w:rPr>
          <w:sz w:val="22"/>
        </w:rPr>
        <w:t xml:space="preserve">anagement of cross-link interference. A cell that transmits in the downlink direction may cause BS-to-BS interference at a neighbour cell that adopts uplink operation in the same slot. Similarly, the UE from the cell with uplink direction of operation may cause UE-to-UE interference at the receiving UE in the downlink cell. Without techniques to manage or mitigate such cross-link interference, the system performance could be adversely impacted. </w:t>
      </w:r>
    </w:p>
    <w:p w14:paraId="53D6F2F1" w14:textId="15263FAC" w:rsidR="0083322F" w:rsidRDefault="0083322F" w:rsidP="0083322F">
      <w:pPr>
        <w:pStyle w:val="BodyText"/>
        <w:rPr>
          <w:sz w:val="22"/>
        </w:rPr>
      </w:pPr>
      <w:r w:rsidRPr="00F7727F">
        <w:rPr>
          <w:sz w:val="22"/>
        </w:rPr>
        <w:t>The following agreement has</w:t>
      </w:r>
      <w:r w:rsidR="007501EB">
        <w:rPr>
          <w:sz w:val="22"/>
        </w:rPr>
        <w:t xml:space="preserve"> been reached in RAN1 #89</w:t>
      </w:r>
      <w:r w:rsidR="00020F49">
        <w:rPr>
          <w:sz w:val="22"/>
        </w:rPr>
        <w:t xml:space="preserve"> meeting [1</w:t>
      </w:r>
      <w:r w:rsidRPr="00F7727F">
        <w:rPr>
          <w:sz w:val="22"/>
        </w:rPr>
        <w:t>]</w:t>
      </w:r>
    </w:p>
    <w:p w14:paraId="2B043849" w14:textId="77777777" w:rsidR="007E1180" w:rsidRDefault="007E1180" w:rsidP="007E1180">
      <w:pPr>
        <w:rPr>
          <w:rFonts w:eastAsia="MS Mincho"/>
          <w:color w:val="auto"/>
        </w:rPr>
      </w:pPr>
      <w:r>
        <w:rPr>
          <w:rFonts w:eastAsia="MS Mincho"/>
          <w:highlight w:val="green"/>
        </w:rPr>
        <w:t>Agreements</w:t>
      </w:r>
      <w:r>
        <w:rPr>
          <w:rFonts w:eastAsia="MS Mincho"/>
        </w:rPr>
        <w:t>:</w:t>
      </w:r>
    </w:p>
    <w:p w14:paraId="5BF01FCF" w14:textId="77777777" w:rsidR="007E1180" w:rsidRDefault="007E1180" w:rsidP="00B4331A">
      <w:pPr>
        <w:numPr>
          <w:ilvl w:val="0"/>
          <w:numId w:val="25"/>
        </w:numPr>
        <w:overflowPunct/>
        <w:autoSpaceDE/>
        <w:autoSpaceDN/>
        <w:adjustRightInd/>
        <w:spacing w:after="0"/>
        <w:ind w:left="936"/>
        <w:textAlignment w:val="auto"/>
        <w:rPr>
          <w:rFonts w:eastAsia="Batang"/>
          <w:lang w:eastAsia="en-US"/>
        </w:rPr>
      </w:pPr>
      <w:r>
        <w:t xml:space="preserve">Companies are encouraged to provide more details on and to further evaluate enablers for CLI management using an existing RS covering UE-to-UE interference </w:t>
      </w:r>
    </w:p>
    <w:p w14:paraId="2601397E" w14:textId="77777777" w:rsidR="007E1180" w:rsidRDefault="007E1180" w:rsidP="00B4331A">
      <w:pPr>
        <w:numPr>
          <w:ilvl w:val="1"/>
          <w:numId w:val="25"/>
        </w:numPr>
        <w:overflowPunct/>
        <w:autoSpaceDE/>
        <w:autoSpaceDN/>
        <w:adjustRightInd/>
        <w:spacing w:after="0"/>
        <w:ind w:left="1368"/>
        <w:textAlignment w:val="auto"/>
      </w:pPr>
      <w:r>
        <w:t>Details for the enablers, including:</w:t>
      </w:r>
    </w:p>
    <w:p w14:paraId="180762D4" w14:textId="77777777" w:rsidR="007E1180" w:rsidRDefault="007E1180" w:rsidP="00B4331A">
      <w:pPr>
        <w:numPr>
          <w:ilvl w:val="2"/>
          <w:numId w:val="25"/>
        </w:numPr>
        <w:overflowPunct/>
        <w:autoSpaceDE/>
        <w:autoSpaceDN/>
        <w:adjustRightInd/>
        <w:spacing w:after="0"/>
        <w:ind w:left="1944"/>
        <w:textAlignment w:val="auto"/>
      </w:pPr>
      <w:r>
        <w:t>detailed configurations (RS time/frequency positions, periodicity, # of ports, bandwidth, etc.)</w:t>
      </w:r>
    </w:p>
    <w:p w14:paraId="6E672080" w14:textId="77777777" w:rsidR="007E1180" w:rsidRDefault="007E1180" w:rsidP="00B4331A">
      <w:pPr>
        <w:numPr>
          <w:ilvl w:val="2"/>
          <w:numId w:val="25"/>
        </w:numPr>
        <w:overflowPunct/>
        <w:autoSpaceDE/>
        <w:autoSpaceDN/>
        <w:adjustRightInd/>
        <w:spacing w:after="0"/>
        <w:ind w:left="1944"/>
        <w:textAlignment w:val="auto"/>
      </w:pPr>
      <w:r>
        <w:t xml:space="preserve">detailed reporting </w:t>
      </w:r>
    </w:p>
    <w:p w14:paraId="0556C544" w14:textId="77777777" w:rsidR="007E1180" w:rsidRDefault="007E1180" w:rsidP="00B4331A">
      <w:pPr>
        <w:numPr>
          <w:ilvl w:val="2"/>
          <w:numId w:val="25"/>
        </w:numPr>
        <w:overflowPunct/>
        <w:autoSpaceDE/>
        <w:autoSpaceDN/>
        <w:adjustRightInd/>
        <w:spacing w:after="0"/>
        <w:ind w:left="1944"/>
        <w:textAlignment w:val="auto"/>
      </w:pPr>
      <w:r>
        <w:t>performance metrics</w:t>
      </w:r>
    </w:p>
    <w:p w14:paraId="6CDA716E" w14:textId="77777777" w:rsidR="007E1180" w:rsidRDefault="007E1180" w:rsidP="00B4331A">
      <w:pPr>
        <w:numPr>
          <w:ilvl w:val="2"/>
          <w:numId w:val="25"/>
        </w:numPr>
        <w:overflowPunct/>
        <w:autoSpaceDE/>
        <w:autoSpaceDN/>
        <w:adjustRightInd/>
        <w:spacing w:after="0"/>
        <w:ind w:left="1944"/>
        <w:textAlignment w:val="auto"/>
      </w:pPr>
      <w:r>
        <w:t>long-term and/or short-term</w:t>
      </w:r>
    </w:p>
    <w:p w14:paraId="133E7DDA" w14:textId="77777777" w:rsidR="007E1180" w:rsidRDefault="007E1180" w:rsidP="00B4331A">
      <w:pPr>
        <w:numPr>
          <w:ilvl w:val="2"/>
          <w:numId w:val="25"/>
        </w:numPr>
        <w:overflowPunct/>
        <w:autoSpaceDE/>
        <w:autoSpaceDN/>
        <w:adjustRightInd/>
        <w:spacing w:after="0"/>
        <w:ind w:left="1944"/>
        <w:textAlignment w:val="auto"/>
      </w:pPr>
      <w:r>
        <w:t>timing offset considerations</w:t>
      </w:r>
    </w:p>
    <w:p w14:paraId="5F6ED575" w14:textId="77777777" w:rsidR="007E1180" w:rsidRDefault="007E1180" w:rsidP="00B4331A">
      <w:pPr>
        <w:numPr>
          <w:ilvl w:val="2"/>
          <w:numId w:val="25"/>
        </w:numPr>
        <w:overflowPunct/>
        <w:autoSpaceDE/>
        <w:autoSpaceDN/>
        <w:adjustRightInd/>
        <w:spacing w:after="0"/>
        <w:ind w:left="1944"/>
        <w:textAlignment w:val="auto"/>
      </w:pPr>
      <w:r>
        <w:t>overhead</w:t>
      </w:r>
    </w:p>
    <w:p w14:paraId="39FFCB5C" w14:textId="77777777" w:rsidR="007E1180" w:rsidRDefault="007E1180" w:rsidP="00B4331A">
      <w:pPr>
        <w:numPr>
          <w:ilvl w:val="2"/>
          <w:numId w:val="25"/>
        </w:numPr>
        <w:overflowPunct/>
        <w:autoSpaceDE/>
        <w:autoSpaceDN/>
        <w:adjustRightInd/>
        <w:spacing w:after="0"/>
        <w:ind w:left="1944"/>
        <w:textAlignment w:val="auto"/>
      </w:pPr>
      <w:r>
        <w:t>whether or not to identify the aggressor(s)</w:t>
      </w:r>
    </w:p>
    <w:p w14:paraId="25296ACE" w14:textId="77777777" w:rsidR="007E1180" w:rsidRDefault="007E1180" w:rsidP="00B4331A">
      <w:pPr>
        <w:numPr>
          <w:ilvl w:val="2"/>
          <w:numId w:val="25"/>
        </w:numPr>
        <w:overflowPunct/>
        <w:autoSpaceDE/>
        <w:autoSpaceDN/>
        <w:adjustRightInd/>
        <w:spacing w:after="0"/>
        <w:ind w:left="1944"/>
        <w:textAlignment w:val="auto"/>
      </w:pPr>
      <w:r>
        <w:t>whether or not to use the same framework as in MIMO (if so, how)</w:t>
      </w:r>
    </w:p>
    <w:p w14:paraId="40F32745" w14:textId="77777777" w:rsidR="007E1180" w:rsidRDefault="007E1180" w:rsidP="00B4331A">
      <w:pPr>
        <w:numPr>
          <w:ilvl w:val="1"/>
          <w:numId w:val="25"/>
        </w:numPr>
        <w:overflowPunct/>
        <w:autoSpaceDE/>
        <w:autoSpaceDN/>
        <w:adjustRightInd/>
        <w:spacing w:after="0"/>
        <w:ind w:left="1368"/>
        <w:textAlignment w:val="auto"/>
      </w:pPr>
      <w:r>
        <w:t>Aim to make a decision whether or not to support CLI management using an existing RS covering UE-to-UE interference in the next RAN1 meeting and if so, the details</w:t>
      </w:r>
    </w:p>
    <w:p w14:paraId="4B365204" w14:textId="77777777" w:rsidR="007E1180" w:rsidRDefault="007E1180" w:rsidP="00B4331A">
      <w:pPr>
        <w:numPr>
          <w:ilvl w:val="0"/>
          <w:numId w:val="25"/>
        </w:numPr>
        <w:overflowPunct/>
        <w:autoSpaceDE/>
        <w:autoSpaceDN/>
        <w:adjustRightInd/>
        <w:spacing w:after="0"/>
        <w:ind w:left="936"/>
        <w:textAlignment w:val="auto"/>
      </w:pPr>
      <w:r>
        <w:t xml:space="preserve">Companies are encouraged to provide more details on and to further evaluate enablers for CLI management using an existing RS covering TRP-to-TRP interference </w:t>
      </w:r>
    </w:p>
    <w:p w14:paraId="70785A9D" w14:textId="2442E751" w:rsidR="00172BFE" w:rsidRPr="00F7727F" w:rsidRDefault="00172BFE" w:rsidP="0083322F">
      <w:pPr>
        <w:pStyle w:val="BodyText"/>
        <w:rPr>
          <w:sz w:val="22"/>
        </w:rPr>
      </w:pPr>
    </w:p>
    <w:p w14:paraId="46B24AE6" w14:textId="33136242" w:rsidR="0013603F" w:rsidRPr="00F7727F" w:rsidRDefault="0083322F" w:rsidP="0083322F">
      <w:pPr>
        <w:pStyle w:val="BodyText"/>
        <w:rPr>
          <w:sz w:val="22"/>
        </w:rPr>
      </w:pPr>
      <w:r w:rsidRPr="00F7727F">
        <w:rPr>
          <w:sz w:val="22"/>
        </w:rPr>
        <w:t xml:space="preserve">In this contribution, we </w:t>
      </w:r>
      <w:r w:rsidR="006B4A62">
        <w:rPr>
          <w:sz w:val="22"/>
        </w:rPr>
        <w:t>provide details on enablers for CLI management using existing RS covering both UE-to-UE and TRP-to-TRP interference</w:t>
      </w:r>
      <w:r w:rsidR="00D10477" w:rsidRPr="00F7727F">
        <w:rPr>
          <w:sz w:val="22"/>
        </w:rPr>
        <w:t>.</w:t>
      </w:r>
    </w:p>
    <w:p w14:paraId="7F3BF14F" w14:textId="36BCD74B" w:rsidR="00C37072" w:rsidRDefault="00D308A9" w:rsidP="00B7337E">
      <w:pPr>
        <w:pStyle w:val="Heading1"/>
        <w:numPr>
          <w:ilvl w:val="0"/>
          <w:numId w:val="33"/>
        </w:numPr>
      </w:pPr>
      <w:r>
        <w:lastRenderedPageBreak/>
        <w:t xml:space="preserve">Common </w:t>
      </w:r>
      <w:r w:rsidR="005D5AD8">
        <w:t>framework for long-term and short-term CLI management</w:t>
      </w:r>
    </w:p>
    <w:p w14:paraId="60842CE3" w14:textId="60FED17F" w:rsidR="00A420E3" w:rsidRPr="00A420E3" w:rsidRDefault="00A420E3" w:rsidP="00EE5D49">
      <w:pPr>
        <w:rPr>
          <w:sz w:val="22"/>
          <w:lang w:eastAsia="ko-KR"/>
        </w:rPr>
      </w:pPr>
      <w:r>
        <w:rPr>
          <w:sz w:val="22"/>
          <w:lang w:eastAsia="ko-KR"/>
        </w:rPr>
        <w:t>Any framework for CLI management, whether short-term or long-term</w:t>
      </w:r>
      <w:r w:rsidR="00010C4F">
        <w:rPr>
          <w:sz w:val="22"/>
          <w:lang w:eastAsia="ko-KR"/>
        </w:rPr>
        <w:t xml:space="preserve">, </w:t>
      </w:r>
      <w:r w:rsidR="00DB7D63">
        <w:rPr>
          <w:sz w:val="22"/>
          <w:lang w:eastAsia="ko-KR"/>
        </w:rPr>
        <w:t xml:space="preserve">needs to </w:t>
      </w:r>
      <w:r>
        <w:rPr>
          <w:sz w:val="22"/>
          <w:lang w:eastAsia="ko-KR"/>
        </w:rPr>
        <w:t xml:space="preserve">provision for sounding opportunities where a subset of UE’s/TRP’s are configured </w:t>
      </w:r>
      <w:r w:rsidR="00010C4F">
        <w:rPr>
          <w:sz w:val="22"/>
          <w:lang w:eastAsia="ko-KR"/>
        </w:rPr>
        <w:t>to send RS and another set</w:t>
      </w:r>
      <w:r>
        <w:rPr>
          <w:sz w:val="22"/>
          <w:lang w:eastAsia="ko-KR"/>
        </w:rPr>
        <w:t xml:space="preserve"> to </w:t>
      </w:r>
      <w:r w:rsidR="00555A2A">
        <w:rPr>
          <w:sz w:val="22"/>
          <w:lang w:eastAsia="ko-KR"/>
        </w:rPr>
        <w:t xml:space="preserve">do </w:t>
      </w:r>
      <w:r>
        <w:rPr>
          <w:sz w:val="22"/>
          <w:lang w:eastAsia="ko-KR"/>
        </w:rPr>
        <w:t>measure</w:t>
      </w:r>
      <w:r w:rsidR="00555A2A">
        <w:rPr>
          <w:sz w:val="22"/>
          <w:lang w:eastAsia="ko-KR"/>
        </w:rPr>
        <w:t>ment</w:t>
      </w:r>
      <w:r w:rsidR="00010C4F">
        <w:rPr>
          <w:sz w:val="22"/>
          <w:lang w:eastAsia="ko-KR"/>
        </w:rPr>
        <w:t>s</w:t>
      </w:r>
      <w:r>
        <w:rPr>
          <w:sz w:val="22"/>
          <w:lang w:eastAsia="ko-KR"/>
        </w:rPr>
        <w:t xml:space="preserve"> and </w:t>
      </w:r>
      <w:r w:rsidR="00555A2A">
        <w:rPr>
          <w:sz w:val="22"/>
          <w:lang w:eastAsia="ko-KR"/>
        </w:rPr>
        <w:t xml:space="preserve">send back </w:t>
      </w:r>
      <w:r>
        <w:rPr>
          <w:sz w:val="22"/>
          <w:lang w:eastAsia="ko-KR"/>
        </w:rPr>
        <w:t>report</w:t>
      </w:r>
      <w:r w:rsidR="00010C4F">
        <w:rPr>
          <w:sz w:val="22"/>
          <w:lang w:eastAsia="ko-KR"/>
        </w:rPr>
        <w:t>s</w:t>
      </w:r>
      <w:r>
        <w:rPr>
          <w:sz w:val="22"/>
          <w:lang w:eastAsia="ko-KR"/>
        </w:rPr>
        <w:t>.</w:t>
      </w:r>
      <w:r w:rsidR="00555A2A">
        <w:rPr>
          <w:sz w:val="22"/>
          <w:lang w:eastAsia="ko-KR"/>
        </w:rPr>
        <w:t xml:space="preserve"> The difference between short-term and long-term is that </w:t>
      </w:r>
      <w:r w:rsidR="00010C4F">
        <w:rPr>
          <w:sz w:val="22"/>
          <w:lang w:eastAsia="ko-KR"/>
        </w:rPr>
        <w:t xml:space="preserve">while </w:t>
      </w:r>
      <w:r w:rsidR="00555A2A">
        <w:rPr>
          <w:sz w:val="22"/>
          <w:lang w:eastAsia="ko-KR"/>
        </w:rPr>
        <w:t xml:space="preserve">in </w:t>
      </w:r>
      <w:r w:rsidR="00010C4F">
        <w:rPr>
          <w:sz w:val="22"/>
          <w:lang w:eastAsia="ko-KR"/>
        </w:rPr>
        <w:t xml:space="preserve">the </w:t>
      </w:r>
      <w:r w:rsidR="00555A2A">
        <w:rPr>
          <w:sz w:val="22"/>
          <w:lang w:eastAsia="ko-KR"/>
        </w:rPr>
        <w:t xml:space="preserve">former sounding </w:t>
      </w:r>
      <w:r w:rsidR="00010C4F">
        <w:rPr>
          <w:sz w:val="22"/>
          <w:lang w:eastAsia="ko-KR"/>
        </w:rPr>
        <w:t>needs to</w:t>
      </w:r>
      <w:r w:rsidR="00555A2A">
        <w:rPr>
          <w:sz w:val="22"/>
          <w:lang w:eastAsia="ko-KR"/>
        </w:rPr>
        <w:t xml:space="preserve"> take place not too long before </w:t>
      </w:r>
      <w:r w:rsidR="00010C4F">
        <w:rPr>
          <w:sz w:val="22"/>
          <w:lang w:eastAsia="ko-KR"/>
        </w:rPr>
        <w:t xml:space="preserve">actual </w:t>
      </w:r>
      <w:r w:rsidR="00555A2A">
        <w:rPr>
          <w:sz w:val="22"/>
          <w:lang w:eastAsia="ko-KR"/>
        </w:rPr>
        <w:t>direction conversion take</w:t>
      </w:r>
      <w:r w:rsidR="00010C4F">
        <w:rPr>
          <w:sz w:val="22"/>
          <w:lang w:eastAsia="ko-KR"/>
        </w:rPr>
        <w:t>s</w:t>
      </w:r>
      <w:r w:rsidR="00555A2A">
        <w:rPr>
          <w:sz w:val="22"/>
          <w:lang w:eastAsia="ko-KR"/>
        </w:rPr>
        <w:t xml:space="preserve"> </w:t>
      </w:r>
      <w:r w:rsidR="00010C4F">
        <w:rPr>
          <w:sz w:val="22"/>
          <w:lang w:eastAsia="ko-KR"/>
        </w:rPr>
        <w:t>place (otherwise CLI measurements such as</w:t>
      </w:r>
      <w:r w:rsidR="00555A2A">
        <w:rPr>
          <w:sz w:val="22"/>
          <w:lang w:eastAsia="ko-KR"/>
        </w:rPr>
        <w:t xml:space="preserve"> beam directions</w:t>
      </w:r>
      <w:r w:rsidR="00010C4F">
        <w:rPr>
          <w:sz w:val="22"/>
          <w:lang w:eastAsia="ko-KR"/>
        </w:rPr>
        <w:t xml:space="preserve"> become outdated</w:t>
      </w:r>
      <w:r w:rsidR="00555A2A">
        <w:rPr>
          <w:sz w:val="22"/>
          <w:lang w:eastAsia="ko-KR"/>
        </w:rPr>
        <w:t>)</w:t>
      </w:r>
      <w:r w:rsidR="00010C4F">
        <w:rPr>
          <w:sz w:val="22"/>
          <w:lang w:eastAsia="ko-KR"/>
        </w:rPr>
        <w:t>, in the latter timelines are more relaxed (</w:t>
      </w:r>
      <w:r w:rsidR="00DB7D63">
        <w:rPr>
          <w:sz w:val="22"/>
          <w:lang w:eastAsia="ko-KR"/>
        </w:rPr>
        <w:t xml:space="preserve">in </w:t>
      </w:r>
      <w:r w:rsidR="00010C4F">
        <w:rPr>
          <w:sz w:val="22"/>
          <w:lang w:eastAsia="ko-KR"/>
        </w:rPr>
        <w:t>order of seconds)</w:t>
      </w:r>
      <w:r w:rsidR="00DB7D63">
        <w:rPr>
          <w:sz w:val="22"/>
          <w:lang w:eastAsia="ko-KR"/>
        </w:rPr>
        <w:t>. A</w:t>
      </w:r>
      <w:r w:rsidR="00010C4F">
        <w:rPr>
          <w:sz w:val="22"/>
          <w:lang w:eastAsia="ko-KR"/>
        </w:rPr>
        <w:t>s such</w:t>
      </w:r>
      <w:r w:rsidR="009A4656">
        <w:rPr>
          <w:sz w:val="22"/>
          <w:lang w:eastAsia="ko-KR"/>
        </w:rPr>
        <w:t>,</w:t>
      </w:r>
      <w:r w:rsidR="00010C4F">
        <w:rPr>
          <w:sz w:val="22"/>
          <w:lang w:eastAsia="ko-KR"/>
        </w:rPr>
        <w:t xml:space="preserve"> it is possible to aggregate sounding opportunities </w:t>
      </w:r>
      <w:r w:rsidR="00266C0D">
        <w:rPr>
          <w:sz w:val="22"/>
          <w:lang w:eastAsia="ko-KR"/>
        </w:rPr>
        <w:t>for long-term CLI management</w:t>
      </w:r>
      <w:r w:rsidR="00DB7D63">
        <w:rPr>
          <w:sz w:val="22"/>
          <w:lang w:eastAsia="ko-KR"/>
        </w:rPr>
        <w:t xml:space="preserve"> </w:t>
      </w:r>
      <w:r w:rsidR="00010C4F">
        <w:rPr>
          <w:sz w:val="22"/>
          <w:lang w:eastAsia="ko-KR"/>
        </w:rPr>
        <w:t xml:space="preserve">in the form of a special sounding slot. </w:t>
      </w:r>
      <w:r w:rsidR="00004D0E">
        <w:rPr>
          <w:sz w:val="22"/>
          <w:lang w:eastAsia="ko-KR"/>
        </w:rPr>
        <w:t>On the other hand, it is desirable to unify the sounding design for both long-term and short-term CLI</w:t>
      </w:r>
      <w:r w:rsidR="00DB7D63">
        <w:rPr>
          <w:sz w:val="22"/>
          <w:lang w:eastAsia="ko-KR"/>
        </w:rPr>
        <w:t xml:space="preserve">. </w:t>
      </w:r>
      <w:r w:rsidR="00555A2A">
        <w:rPr>
          <w:sz w:val="22"/>
          <w:lang w:eastAsia="ko-KR"/>
        </w:rPr>
        <w:t xml:space="preserve">   </w:t>
      </w:r>
      <w:r>
        <w:rPr>
          <w:sz w:val="22"/>
          <w:lang w:eastAsia="ko-KR"/>
        </w:rPr>
        <w:t xml:space="preserve"> </w:t>
      </w:r>
    </w:p>
    <w:p w14:paraId="2D5A0278" w14:textId="67631E09" w:rsidR="00EE5D49" w:rsidRDefault="00EE5D49" w:rsidP="00EE5D49">
      <w:pPr>
        <w:rPr>
          <w:b/>
          <w:i/>
          <w:sz w:val="22"/>
          <w:lang w:eastAsia="ko-KR"/>
        </w:rPr>
      </w:pPr>
      <w:r>
        <w:rPr>
          <w:b/>
          <w:i/>
          <w:sz w:val="22"/>
          <w:lang w:eastAsia="ko-KR"/>
        </w:rPr>
        <w:t>Observation 1: It is possible and beneficial to use the same framework, in terms of RS time/frequency positions, # of ports, bandwidth, etc., for both long-term and short-term CLI management</w:t>
      </w:r>
    </w:p>
    <w:p w14:paraId="5EFA9D7C" w14:textId="77777777" w:rsidR="00851373" w:rsidRPr="00C55B4C" w:rsidRDefault="00851373" w:rsidP="00851373">
      <w:pPr>
        <w:rPr>
          <w:b/>
          <w:sz w:val="22"/>
          <w:lang w:eastAsia="ko-KR"/>
        </w:rPr>
      </w:pPr>
      <w:r w:rsidRPr="00C55B4C">
        <w:rPr>
          <w:b/>
          <w:sz w:val="22"/>
          <w:lang w:eastAsia="ko-KR"/>
        </w:rPr>
        <w:t xml:space="preserve">Proposal 1: </w:t>
      </w:r>
      <w:r w:rsidRPr="009C7DCE">
        <w:rPr>
          <w:sz w:val="22"/>
          <w:lang w:eastAsia="ko-KR"/>
        </w:rPr>
        <w:t>NR uses a common framework, for both long-term and short-term CLI management.</w:t>
      </w:r>
    </w:p>
    <w:p w14:paraId="0F40CBA1" w14:textId="4C282F63" w:rsidR="009A4656" w:rsidRPr="009A4656" w:rsidRDefault="009A4656" w:rsidP="00EE5D49">
      <w:pPr>
        <w:rPr>
          <w:sz w:val="22"/>
          <w:lang w:eastAsia="ko-KR"/>
        </w:rPr>
      </w:pPr>
      <w:r>
        <w:rPr>
          <w:sz w:val="22"/>
          <w:lang w:eastAsia="ko-KR"/>
        </w:rPr>
        <w:t xml:space="preserve">The proposed common CLI management framework consists of RRM configuring gaps during which soundings and measurements take place. As noted, for the framework to support short-term CLI management, gaps may need to </w:t>
      </w:r>
      <w:r w:rsidR="006A1150">
        <w:rPr>
          <w:sz w:val="22"/>
          <w:lang w:eastAsia="ko-KR"/>
        </w:rPr>
        <w:t>be brief (e.</w:t>
      </w:r>
      <w:r w:rsidR="004725FD">
        <w:rPr>
          <w:sz w:val="22"/>
          <w:lang w:eastAsia="ko-KR"/>
        </w:rPr>
        <w:t>g.</w:t>
      </w:r>
      <w:r w:rsidR="006A1150">
        <w:rPr>
          <w:sz w:val="22"/>
          <w:lang w:eastAsia="ko-KR"/>
        </w:rPr>
        <w:t xml:space="preserve">, supporting one sounding/measurement opportunity) </w:t>
      </w:r>
      <w:r w:rsidR="004725FD">
        <w:rPr>
          <w:sz w:val="22"/>
          <w:lang w:eastAsia="ko-KR"/>
        </w:rPr>
        <w:t>and</w:t>
      </w:r>
      <w:r w:rsidR="006A1150">
        <w:rPr>
          <w:sz w:val="22"/>
          <w:lang w:eastAsia="ko-KR"/>
        </w:rPr>
        <w:t xml:space="preserve"> </w:t>
      </w:r>
      <w:r w:rsidR="004725FD">
        <w:rPr>
          <w:sz w:val="22"/>
          <w:lang w:eastAsia="ko-KR"/>
        </w:rPr>
        <w:t>placed</w:t>
      </w:r>
      <w:r w:rsidR="006A1150">
        <w:rPr>
          <w:sz w:val="22"/>
          <w:lang w:eastAsia="ko-KR"/>
        </w:rPr>
        <w:t xml:space="preserve"> right before conversion (though framework should not preclude longer gaps occurring less frequently.)</w:t>
      </w:r>
    </w:p>
    <w:p w14:paraId="4A17C07C" w14:textId="6B225214" w:rsidR="00851373" w:rsidRPr="00851373" w:rsidRDefault="00851373" w:rsidP="00EE5D49">
      <w:pPr>
        <w:rPr>
          <w:b/>
          <w:sz w:val="22"/>
          <w:lang w:eastAsia="ko-KR"/>
        </w:rPr>
      </w:pPr>
      <w:r w:rsidRPr="00C55B4C">
        <w:rPr>
          <w:b/>
          <w:sz w:val="22"/>
          <w:lang w:eastAsia="ko-KR"/>
        </w:rPr>
        <w:t xml:space="preserve">Proposal 2: </w:t>
      </w:r>
      <w:r w:rsidRPr="0060788A">
        <w:rPr>
          <w:sz w:val="22"/>
          <w:lang w:eastAsia="ko-KR"/>
        </w:rPr>
        <w:t>The CLI management framework consists of RRM configuring gaps during which TRP’s/UE’s are instructed to sound or measure cross-link channel using configured RS</w:t>
      </w:r>
    </w:p>
    <w:p w14:paraId="1ADDB773" w14:textId="2B6BB286" w:rsidR="008A5316" w:rsidRPr="008A5316" w:rsidRDefault="006A1150" w:rsidP="00EE5D49">
      <w:pPr>
        <w:rPr>
          <w:sz w:val="22"/>
          <w:lang w:eastAsia="ko-KR"/>
        </w:rPr>
      </w:pPr>
      <w:r>
        <w:rPr>
          <w:sz w:val="22"/>
          <w:lang w:eastAsia="ko-KR"/>
        </w:rPr>
        <w:t xml:space="preserve">To reduce overhead in terms of </w:t>
      </w:r>
      <w:r w:rsidR="00BF290B">
        <w:rPr>
          <w:sz w:val="22"/>
          <w:lang w:eastAsia="ko-KR"/>
        </w:rPr>
        <w:t xml:space="preserve">consumed </w:t>
      </w:r>
      <w:r>
        <w:rPr>
          <w:sz w:val="22"/>
          <w:lang w:eastAsia="ko-KR"/>
        </w:rPr>
        <w:t>scheduling</w:t>
      </w:r>
      <w:r w:rsidR="00BF290B">
        <w:rPr>
          <w:sz w:val="22"/>
          <w:lang w:eastAsia="ko-KR"/>
        </w:rPr>
        <w:t xml:space="preserve"> resources</w:t>
      </w:r>
      <w:r>
        <w:rPr>
          <w:sz w:val="22"/>
          <w:lang w:eastAsia="ko-KR"/>
        </w:rPr>
        <w:t xml:space="preserve">, it is beneficial for sounding / measurements </w:t>
      </w:r>
      <w:r w:rsidR="004725FD">
        <w:rPr>
          <w:sz w:val="22"/>
          <w:lang w:eastAsia="ko-KR"/>
        </w:rPr>
        <w:t xml:space="preserve">gaps </w:t>
      </w:r>
      <w:r>
        <w:rPr>
          <w:sz w:val="22"/>
          <w:lang w:eastAsia="ko-KR"/>
        </w:rPr>
        <w:t>to extend already existing gaps, e.g., PDSCH to PUC</w:t>
      </w:r>
      <w:r w:rsidR="00CA7BFA">
        <w:rPr>
          <w:sz w:val="22"/>
          <w:lang w:eastAsia="ko-KR"/>
        </w:rPr>
        <w:t>C</w:t>
      </w:r>
      <w:r>
        <w:rPr>
          <w:sz w:val="22"/>
          <w:lang w:eastAsia="ko-KR"/>
        </w:rPr>
        <w:t>H in a DL slot or PDCCH to PUSCH gap in an UL slot. In this way, each sounding opportunity takes one OFDM symbol off of PDSCH or PUSCH</w:t>
      </w:r>
      <w:r w:rsidR="00BF290B">
        <w:rPr>
          <w:sz w:val="22"/>
          <w:lang w:eastAsia="ko-KR"/>
        </w:rPr>
        <w:t>, respectively</w:t>
      </w:r>
      <w:r w:rsidR="004725FD">
        <w:rPr>
          <w:sz w:val="22"/>
          <w:lang w:eastAsia="ko-KR"/>
        </w:rPr>
        <w:t>, as</w:t>
      </w:r>
      <w:r>
        <w:rPr>
          <w:sz w:val="22"/>
          <w:lang w:eastAsia="ko-KR"/>
        </w:rPr>
        <w:t xml:space="preserve"> compared to two symbols </w:t>
      </w:r>
      <w:r w:rsidR="004725FD">
        <w:rPr>
          <w:sz w:val="22"/>
          <w:lang w:eastAsia="ko-KR"/>
        </w:rPr>
        <w:t>if a gap was not already existent.</w:t>
      </w:r>
      <w:r w:rsidR="00E8086C">
        <w:rPr>
          <w:sz w:val="22"/>
          <w:lang w:eastAsia="ko-KR"/>
        </w:rPr>
        <w:t xml:space="preserve"> </w:t>
      </w:r>
      <w:r w:rsidR="004725FD">
        <w:rPr>
          <w:sz w:val="22"/>
          <w:lang w:eastAsia="ko-KR"/>
        </w:rPr>
        <w:t xml:space="preserve">It should be noted, however, that it may be necessary in some situations to create new sounding/measurement gaps. As an </w:t>
      </w:r>
      <w:r w:rsidR="00A231A6">
        <w:rPr>
          <w:sz w:val="22"/>
          <w:lang w:eastAsia="ko-KR"/>
        </w:rPr>
        <w:t>example,</w:t>
      </w:r>
      <w:r w:rsidR="00BF290B">
        <w:rPr>
          <w:sz w:val="22"/>
          <w:lang w:eastAsia="ko-KR"/>
        </w:rPr>
        <w:t xml:space="preserve"> consider the</w:t>
      </w:r>
      <w:r w:rsidR="004725FD">
        <w:rPr>
          <w:sz w:val="22"/>
          <w:lang w:eastAsia="ko-KR"/>
        </w:rPr>
        <w:t xml:space="preserve"> case where </w:t>
      </w:r>
      <w:r w:rsidR="00A231A6">
        <w:rPr>
          <w:sz w:val="22"/>
          <w:lang w:eastAsia="ko-KR"/>
        </w:rPr>
        <w:t xml:space="preserve">some </w:t>
      </w:r>
      <w:r w:rsidR="00565698">
        <w:rPr>
          <w:sz w:val="22"/>
          <w:lang w:eastAsia="ko-KR"/>
        </w:rPr>
        <w:t xml:space="preserve">TRP’s have already </w:t>
      </w:r>
      <w:r w:rsidR="00A231A6">
        <w:rPr>
          <w:sz w:val="22"/>
          <w:lang w:eastAsia="ko-KR"/>
        </w:rPr>
        <w:t>converted</w:t>
      </w:r>
      <w:r w:rsidR="00565698">
        <w:rPr>
          <w:sz w:val="22"/>
          <w:lang w:eastAsia="ko-KR"/>
        </w:rPr>
        <w:t xml:space="preserve"> their direction</w:t>
      </w:r>
      <w:r w:rsidR="00A231A6">
        <w:rPr>
          <w:sz w:val="22"/>
          <w:lang w:eastAsia="ko-KR"/>
        </w:rPr>
        <w:t>. As such, at the same time some TRP’s are doing a DL slot while others are doing UL. Since the gaps in DL and UL slots do not line up, sounding/measurement gap</w:t>
      </w:r>
      <w:r w:rsidR="00565698">
        <w:rPr>
          <w:sz w:val="22"/>
          <w:lang w:eastAsia="ko-KR"/>
        </w:rPr>
        <w:t xml:space="preserve"> has to take </w:t>
      </w:r>
      <w:r w:rsidR="00BF290B">
        <w:rPr>
          <w:sz w:val="22"/>
          <w:lang w:eastAsia="ko-KR"/>
        </w:rPr>
        <w:t xml:space="preserve">an extra symbol (i.e., </w:t>
      </w:r>
      <w:r w:rsidR="00565698">
        <w:rPr>
          <w:sz w:val="22"/>
          <w:lang w:eastAsia="ko-KR"/>
        </w:rPr>
        <w:t>two symbols</w:t>
      </w:r>
      <w:r w:rsidR="00BF290B">
        <w:rPr>
          <w:sz w:val="22"/>
          <w:lang w:eastAsia="ko-KR"/>
        </w:rPr>
        <w:t>)</w:t>
      </w:r>
      <w:r w:rsidR="00565698">
        <w:rPr>
          <w:sz w:val="22"/>
          <w:lang w:eastAsia="ko-KR"/>
        </w:rPr>
        <w:t xml:space="preserve"> either from PUSCH (if it extended DL slot’s gap) or from PDSCH (if UL slot’s gap was extended.)</w:t>
      </w:r>
      <w:r w:rsidR="00A231A6">
        <w:rPr>
          <w:sz w:val="22"/>
          <w:lang w:eastAsia="ko-KR"/>
        </w:rPr>
        <w:t xml:space="preserve">  </w:t>
      </w:r>
      <w:r w:rsidR="004725FD">
        <w:rPr>
          <w:sz w:val="22"/>
          <w:lang w:eastAsia="ko-KR"/>
        </w:rPr>
        <w:t xml:space="preserve"> </w:t>
      </w:r>
      <w:r>
        <w:rPr>
          <w:sz w:val="22"/>
          <w:lang w:eastAsia="ko-KR"/>
        </w:rPr>
        <w:t xml:space="preserve">     </w:t>
      </w:r>
    </w:p>
    <w:p w14:paraId="78F0D29F" w14:textId="35F1BED7" w:rsidR="00851373" w:rsidRPr="00C55B4C" w:rsidRDefault="00851373" w:rsidP="00851373">
      <w:pPr>
        <w:rPr>
          <w:b/>
          <w:sz w:val="22"/>
          <w:lang w:eastAsia="ko-KR"/>
        </w:rPr>
      </w:pPr>
      <w:r w:rsidRPr="00C55B4C">
        <w:rPr>
          <w:b/>
          <w:sz w:val="22"/>
          <w:lang w:eastAsia="ko-KR"/>
        </w:rPr>
        <w:t xml:space="preserve">Proposal 3: </w:t>
      </w:r>
      <w:r w:rsidRPr="0060788A">
        <w:rPr>
          <w:sz w:val="22"/>
          <w:lang w:eastAsia="ko-KR"/>
        </w:rPr>
        <w:t>Sounding/measurement gaps preferably extend existing gaps, e.g., PDSCH to PUCCH gap in a DL slot or PDCCH to PUSCH gap in an UL slot, however, new sounding/measurement gaps may be configured</w:t>
      </w:r>
    </w:p>
    <w:p w14:paraId="49CD1007" w14:textId="77777777" w:rsidR="00851373" w:rsidRPr="0060788A" w:rsidRDefault="00851373" w:rsidP="00851373">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Sounding/measurement gaps could last for one or more OFDM symbol durations to support one or more sounding/measurement opportunities</w:t>
      </w:r>
    </w:p>
    <w:p w14:paraId="5AECB688" w14:textId="77777777" w:rsidR="00851373" w:rsidRPr="0060788A" w:rsidRDefault="00851373" w:rsidP="00851373">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Sounding/measurement gaps may be configured semi-statically or dynamically</w:t>
      </w:r>
    </w:p>
    <w:p w14:paraId="46235F04" w14:textId="77777777" w:rsidR="00851373" w:rsidRDefault="00851373" w:rsidP="00851373">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Sounding/measurement gaps may be configured network-wide or pertain to specific set of TRP’s/UE’s</w:t>
      </w:r>
    </w:p>
    <w:p w14:paraId="5600ED99" w14:textId="77777777" w:rsidR="00851373" w:rsidRPr="00A806E6" w:rsidRDefault="00851373" w:rsidP="00851373">
      <w:pPr>
        <w:pStyle w:val="ListParagraph"/>
        <w:ind w:left="825"/>
        <w:rPr>
          <w:rFonts w:eastAsia="SimSun"/>
          <w:color w:val="000000"/>
          <w:sz w:val="22"/>
          <w:szCs w:val="20"/>
          <w:lang w:val="en-GB" w:eastAsia="ko-KR"/>
        </w:rPr>
      </w:pPr>
    </w:p>
    <w:p w14:paraId="3509C905" w14:textId="191747F1" w:rsidR="001E6DE2" w:rsidRPr="00434CC3" w:rsidRDefault="001E6DE2" w:rsidP="001E6DE2">
      <w:pPr>
        <w:rPr>
          <w:sz w:val="22"/>
          <w:lang w:eastAsia="ko-KR"/>
        </w:rPr>
      </w:pPr>
      <w:r>
        <w:rPr>
          <w:sz w:val="22"/>
          <w:lang w:eastAsia="ko-KR"/>
        </w:rPr>
        <w:t xml:space="preserve">Another issue to be considered is timing offset. Note that the default TA ensures UL symbols from different UE’s to arrive at serving TRP in synchronization. The goal with respect to CLI management, however, is to align sounding/measuring TRP’s/UE’s send/receive windows. </w:t>
      </w:r>
      <w:r w:rsidR="007819CE">
        <w:rPr>
          <w:sz w:val="22"/>
          <w:lang w:eastAsia="ko-KR"/>
        </w:rPr>
        <w:t>In theory, t</w:t>
      </w:r>
      <w:r>
        <w:rPr>
          <w:sz w:val="22"/>
          <w:lang w:eastAsia="ko-KR"/>
        </w:rPr>
        <w:t xml:space="preserve">his can be accomplished by providing TRP’s/UE’s with an additional TA either explicitly, or implicitly. </w:t>
      </w:r>
      <w:r w:rsidR="00F04748">
        <w:rPr>
          <w:sz w:val="22"/>
          <w:lang w:eastAsia="ko-KR"/>
        </w:rPr>
        <w:t>However, generally speaking, timing different between any pair of two node</w:t>
      </w:r>
      <w:r w:rsidR="00815513">
        <w:rPr>
          <w:sz w:val="22"/>
          <w:lang w:eastAsia="ko-KR"/>
        </w:rPr>
        <w:t>s</w:t>
      </w:r>
      <w:r w:rsidR="00F04748">
        <w:rPr>
          <w:sz w:val="22"/>
          <w:lang w:eastAsia="ko-KR"/>
        </w:rPr>
        <w:t xml:space="preserve"> can v</w:t>
      </w:r>
      <w:r w:rsidR="00815513">
        <w:rPr>
          <w:sz w:val="22"/>
          <w:lang w:eastAsia="ko-KR"/>
        </w:rPr>
        <w:t xml:space="preserve">ary a lot. Moreover, the TA is always w.r.t. to one receiver, when timing difference is very large, aligning </w:t>
      </w:r>
      <w:r w:rsidR="00815513">
        <w:rPr>
          <w:sz w:val="22"/>
          <w:lang w:eastAsia="ko-KR"/>
        </w:rPr>
        <w:lastRenderedPageBreak/>
        <w:t>timing between different receiver and transmitter is very challenging. A good starting point for dynamic TDD design is small cell, there specially treatment of TA is not needed</w:t>
      </w:r>
      <w:r>
        <w:rPr>
          <w:sz w:val="22"/>
          <w:lang w:eastAsia="ko-KR"/>
        </w:rPr>
        <w:t xml:space="preserve">     </w:t>
      </w:r>
    </w:p>
    <w:p w14:paraId="3E29A80C" w14:textId="3418185A" w:rsidR="00EE5D49" w:rsidRPr="00A63CBB" w:rsidRDefault="001E2A89" w:rsidP="00EE5D49">
      <w:pPr>
        <w:rPr>
          <w:sz w:val="22"/>
          <w:lang w:eastAsia="ko-KR"/>
        </w:rPr>
      </w:pPr>
      <w:r>
        <w:rPr>
          <w:sz w:val="22"/>
          <w:lang w:eastAsia="ko-KR"/>
        </w:rPr>
        <w:t>W</w:t>
      </w:r>
      <w:r w:rsidR="005022DA">
        <w:rPr>
          <w:sz w:val="22"/>
          <w:lang w:eastAsia="ko-KR"/>
        </w:rPr>
        <w:t>ith respect to type of RS, performance metrics and reporting details we notice:</w:t>
      </w:r>
    </w:p>
    <w:p w14:paraId="1FAD2286" w14:textId="77777777" w:rsidR="00851373" w:rsidRPr="003605F1" w:rsidRDefault="00851373" w:rsidP="00851373">
      <w:pPr>
        <w:rPr>
          <w:sz w:val="22"/>
          <w:lang w:eastAsia="ko-KR"/>
        </w:rPr>
      </w:pPr>
      <w:r w:rsidRPr="00C55B4C">
        <w:rPr>
          <w:b/>
          <w:sz w:val="22"/>
          <w:lang w:eastAsia="ko-KR"/>
        </w:rPr>
        <w:t>P</w:t>
      </w:r>
      <w:r>
        <w:rPr>
          <w:b/>
          <w:sz w:val="22"/>
          <w:lang w:eastAsia="ko-KR"/>
        </w:rPr>
        <w:t>roposal 4</w:t>
      </w:r>
      <w:r w:rsidRPr="00C55B4C">
        <w:rPr>
          <w:b/>
          <w:sz w:val="22"/>
          <w:lang w:eastAsia="ko-KR"/>
        </w:rPr>
        <w:t xml:space="preserve">: </w:t>
      </w:r>
      <w:r w:rsidRPr="003605F1">
        <w:rPr>
          <w:sz w:val="22"/>
          <w:lang w:eastAsia="ko-KR"/>
        </w:rPr>
        <w:t xml:space="preserve">Existing RS, e.g., SRS or CSI-RS could be used for sounding. </w:t>
      </w:r>
    </w:p>
    <w:p w14:paraId="50123F9A" w14:textId="77777777" w:rsidR="00851373" w:rsidRPr="003605F1" w:rsidRDefault="00851373" w:rsidP="00851373">
      <w:pPr>
        <w:pStyle w:val="ListParagraph"/>
        <w:numPr>
          <w:ilvl w:val="0"/>
          <w:numId w:val="31"/>
        </w:numPr>
        <w:rPr>
          <w:sz w:val="22"/>
          <w:lang w:eastAsia="ko-KR"/>
        </w:rPr>
      </w:pPr>
      <w:r w:rsidRPr="003605F1">
        <w:rPr>
          <w:sz w:val="22"/>
          <w:lang w:eastAsia="ko-KR"/>
        </w:rPr>
        <w:t>Performance metrics and reporting details are determined by RS type used and short-term or long-term nature of CLI measurement</w:t>
      </w:r>
    </w:p>
    <w:p w14:paraId="671ED760" w14:textId="77777777" w:rsidR="00851373" w:rsidRPr="003605F1" w:rsidRDefault="00851373" w:rsidP="00851373">
      <w:pPr>
        <w:pStyle w:val="ListParagraph"/>
        <w:numPr>
          <w:ilvl w:val="0"/>
          <w:numId w:val="31"/>
        </w:numPr>
        <w:rPr>
          <w:sz w:val="22"/>
          <w:lang w:eastAsia="ko-KR"/>
        </w:rPr>
      </w:pPr>
      <w:r w:rsidRPr="003605F1">
        <w:rPr>
          <w:sz w:val="22"/>
          <w:lang w:eastAsia="ko-KR"/>
        </w:rPr>
        <w:t>Long-term metrics includes RSSI, RSRP. Short-term measurement includes beam directions, MCS in addition</w:t>
      </w:r>
    </w:p>
    <w:p w14:paraId="256D817F" w14:textId="6D1E2CFD" w:rsidR="0073518D" w:rsidRDefault="00851373" w:rsidP="003632F6">
      <w:pPr>
        <w:pStyle w:val="ListParagraph"/>
        <w:numPr>
          <w:ilvl w:val="0"/>
          <w:numId w:val="31"/>
        </w:numPr>
        <w:rPr>
          <w:sz w:val="22"/>
          <w:lang w:eastAsia="ko-KR"/>
        </w:rPr>
      </w:pPr>
      <w:r w:rsidRPr="003605F1">
        <w:rPr>
          <w:sz w:val="22"/>
          <w:lang w:eastAsia="ko-KR"/>
        </w:rPr>
        <w:t xml:space="preserve">RRM configures the frequency position, port number, scrambling code, bandwidth of sounding RS (semi-statically or dynamically) based on the particular CLI management scheme </w:t>
      </w:r>
    </w:p>
    <w:p w14:paraId="39B0DF4B" w14:textId="77777777" w:rsidR="00573296" w:rsidRPr="00987CB2" w:rsidRDefault="00573296" w:rsidP="00852D46">
      <w:pPr>
        <w:pStyle w:val="ListParagraph"/>
        <w:rPr>
          <w:sz w:val="22"/>
          <w:lang w:eastAsia="ko-KR"/>
        </w:rPr>
      </w:pPr>
    </w:p>
    <w:p w14:paraId="26B00B46" w14:textId="77777777" w:rsidR="00ED2BCA" w:rsidRDefault="007627EA" w:rsidP="009C4DCD">
      <w:pPr>
        <w:rPr>
          <w:sz w:val="22"/>
          <w:szCs w:val="22"/>
        </w:rPr>
      </w:pPr>
      <w:r>
        <w:rPr>
          <w:sz w:val="22"/>
          <w:szCs w:val="22"/>
        </w:rPr>
        <w:t>It is worth noting that the proposed framework is flexible enough to support a wide va</w:t>
      </w:r>
      <w:r w:rsidR="007A2ABE">
        <w:rPr>
          <w:sz w:val="22"/>
          <w:szCs w:val="22"/>
        </w:rPr>
        <w:t xml:space="preserve">riety of CLI management schemes; </w:t>
      </w:r>
      <w:r w:rsidR="00ED2BCA">
        <w:rPr>
          <w:sz w:val="22"/>
          <w:szCs w:val="22"/>
        </w:rPr>
        <w:t>I</w:t>
      </w:r>
      <w:r>
        <w:rPr>
          <w:sz w:val="22"/>
          <w:szCs w:val="22"/>
        </w:rPr>
        <w:t>n section 3, we give details of one such long-term scheme. In addition</w:t>
      </w:r>
      <w:r w:rsidR="000E50D6">
        <w:rPr>
          <w:sz w:val="22"/>
          <w:szCs w:val="22"/>
        </w:rPr>
        <w:t>,</w:t>
      </w:r>
      <w:r>
        <w:rPr>
          <w:sz w:val="22"/>
          <w:szCs w:val="22"/>
        </w:rPr>
        <w:t xml:space="preserve"> [2] provides details of two other short-term schemes</w:t>
      </w:r>
      <w:r w:rsidR="003D03FB">
        <w:rPr>
          <w:sz w:val="22"/>
          <w:szCs w:val="22"/>
        </w:rPr>
        <w:t xml:space="preserve"> which we briefly review here</w:t>
      </w:r>
      <w:r>
        <w:rPr>
          <w:sz w:val="22"/>
          <w:szCs w:val="22"/>
        </w:rPr>
        <w:t>.</w:t>
      </w:r>
      <w:r w:rsidR="007A2ABE">
        <w:rPr>
          <w:sz w:val="22"/>
          <w:szCs w:val="22"/>
        </w:rPr>
        <w:t xml:space="preserve"> </w:t>
      </w:r>
    </w:p>
    <w:p w14:paraId="16552F16" w14:textId="087113E3" w:rsidR="00AC7B2D" w:rsidRDefault="007A2ABE" w:rsidP="009C4DCD">
      <w:pPr>
        <w:rPr>
          <w:sz w:val="22"/>
          <w:szCs w:val="22"/>
        </w:rPr>
      </w:pPr>
      <w:r>
        <w:rPr>
          <w:sz w:val="22"/>
          <w:szCs w:val="22"/>
        </w:rPr>
        <w:t>In the first short-term scheme</w:t>
      </w:r>
      <w:r w:rsidR="003D03FB">
        <w:rPr>
          <w:sz w:val="22"/>
          <w:szCs w:val="22"/>
        </w:rPr>
        <w:t xml:space="preserve"> the so</w:t>
      </w:r>
      <w:r>
        <w:rPr>
          <w:sz w:val="22"/>
          <w:szCs w:val="22"/>
        </w:rPr>
        <w:t>unding/measurement gap is configured between PDCCH and PDSCH for DL slots and PDCCH and PUSCH for UL slots. The sounding/measurement gap spans two OFDM symbols and provides for one sounding/measurement opportunity</w:t>
      </w:r>
      <w:r w:rsidR="00ED2BCA">
        <w:rPr>
          <w:sz w:val="22"/>
          <w:szCs w:val="22"/>
        </w:rPr>
        <w:t xml:space="preserve"> </w:t>
      </w:r>
      <w:r>
        <w:rPr>
          <w:sz w:val="22"/>
          <w:szCs w:val="22"/>
        </w:rPr>
        <w:t>used by default direction receivers to sound</w:t>
      </w:r>
      <w:r w:rsidR="003D3959">
        <w:rPr>
          <w:sz w:val="22"/>
          <w:szCs w:val="22"/>
        </w:rPr>
        <w:t xml:space="preserve"> </w:t>
      </w:r>
      <w:r>
        <w:rPr>
          <w:sz w:val="22"/>
          <w:szCs w:val="22"/>
        </w:rPr>
        <w:t>“CTS” signal</w:t>
      </w:r>
      <w:r w:rsidR="003D3959">
        <w:rPr>
          <w:sz w:val="22"/>
          <w:szCs w:val="22"/>
        </w:rPr>
        <w:t>s</w:t>
      </w:r>
      <w:r>
        <w:rPr>
          <w:sz w:val="22"/>
          <w:szCs w:val="22"/>
        </w:rPr>
        <w:t xml:space="preserve">. Converting transmitters measure </w:t>
      </w:r>
      <w:r w:rsidR="003D3959">
        <w:rPr>
          <w:sz w:val="22"/>
          <w:szCs w:val="22"/>
        </w:rPr>
        <w:t xml:space="preserve">these </w:t>
      </w:r>
      <w:r>
        <w:rPr>
          <w:sz w:val="22"/>
          <w:szCs w:val="22"/>
        </w:rPr>
        <w:t xml:space="preserve">CTS </w:t>
      </w:r>
      <w:r w:rsidR="003D3959">
        <w:rPr>
          <w:sz w:val="22"/>
          <w:szCs w:val="22"/>
        </w:rPr>
        <w:t xml:space="preserve">signals </w:t>
      </w:r>
      <w:r>
        <w:rPr>
          <w:sz w:val="22"/>
          <w:szCs w:val="22"/>
        </w:rPr>
        <w:t xml:space="preserve">to decide if they </w:t>
      </w:r>
      <w:r w:rsidR="00ED2BCA">
        <w:rPr>
          <w:sz w:val="22"/>
          <w:szCs w:val="22"/>
        </w:rPr>
        <w:t>need to yield or can</w:t>
      </w:r>
      <w:r>
        <w:rPr>
          <w:sz w:val="22"/>
          <w:szCs w:val="22"/>
        </w:rPr>
        <w:t xml:space="preserve"> go forward</w:t>
      </w:r>
      <w:r w:rsidR="0037652E">
        <w:rPr>
          <w:sz w:val="22"/>
          <w:szCs w:val="22"/>
        </w:rPr>
        <w:t>. In the lat</w:t>
      </w:r>
      <w:r w:rsidR="00ED2BCA">
        <w:rPr>
          <w:sz w:val="22"/>
          <w:szCs w:val="22"/>
        </w:rPr>
        <w:t>er case,</w:t>
      </w:r>
      <w:r>
        <w:rPr>
          <w:sz w:val="22"/>
          <w:szCs w:val="22"/>
        </w:rPr>
        <w:t xml:space="preserve"> they may </w:t>
      </w:r>
      <w:r w:rsidR="00ED2BCA">
        <w:rPr>
          <w:sz w:val="22"/>
          <w:szCs w:val="22"/>
        </w:rPr>
        <w:t xml:space="preserve">use the measurement to </w:t>
      </w:r>
      <w:r w:rsidR="003D3959">
        <w:rPr>
          <w:sz w:val="22"/>
          <w:szCs w:val="22"/>
        </w:rPr>
        <w:t xml:space="preserve">further </w:t>
      </w:r>
      <w:r>
        <w:rPr>
          <w:sz w:val="22"/>
          <w:szCs w:val="22"/>
        </w:rPr>
        <w:t xml:space="preserve">decide </w:t>
      </w:r>
      <w:r w:rsidR="00ED2BCA">
        <w:rPr>
          <w:sz w:val="22"/>
          <w:szCs w:val="22"/>
        </w:rPr>
        <w:t xml:space="preserve">how much </w:t>
      </w:r>
      <w:r w:rsidR="00AC7B2D">
        <w:rPr>
          <w:sz w:val="22"/>
          <w:szCs w:val="22"/>
        </w:rPr>
        <w:t xml:space="preserve">they need </w:t>
      </w:r>
      <w:r>
        <w:rPr>
          <w:sz w:val="22"/>
          <w:szCs w:val="22"/>
        </w:rPr>
        <w:t xml:space="preserve">to back </w:t>
      </w:r>
      <w:r w:rsidR="0037652E">
        <w:rPr>
          <w:sz w:val="22"/>
          <w:szCs w:val="22"/>
        </w:rPr>
        <w:t>off</w:t>
      </w:r>
      <w:r>
        <w:rPr>
          <w:sz w:val="22"/>
          <w:szCs w:val="22"/>
        </w:rPr>
        <w:t xml:space="preserve"> their Tx power</w:t>
      </w:r>
      <w:r w:rsidR="00830C36">
        <w:rPr>
          <w:sz w:val="22"/>
          <w:szCs w:val="22"/>
        </w:rPr>
        <w:t xml:space="preserve"> (see [2] for further details)</w:t>
      </w:r>
      <w:r w:rsidR="00ED2BCA">
        <w:rPr>
          <w:sz w:val="22"/>
          <w:szCs w:val="22"/>
        </w:rPr>
        <w:t>.</w:t>
      </w:r>
    </w:p>
    <w:p w14:paraId="3FE02CDD" w14:textId="5A66D26A" w:rsidR="009C4DCD" w:rsidRDefault="00AC7B2D" w:rsidP="009C4DCD">
      <w:pPr>
        <w:rPr>
          <w:sz w:val="22"/>
          <w:szCs w:val="22"/>
        </w:rPr>
      </w:pPr>
      <w:r>
        <w:rPr>
          <w:sz w:val="22"/>
          <w:szCs w:val="22"/>
        </w:rPr>
        <w:t>I</w:t>
      </w:r>
      <w:r w:rsidR="00360C69">
        <w:rPr>
          <w:sz w:val="22"/>
          <w:szCs w:val="22"/>
        </w:rPr>
        <w:t>n the second short-term scheme</w:t>
      </w:r>
      <w:r>
        <w:rPr>
          <w:sz w:val="22"/>
          <w:szCs w:val="22"/>
        </w:rPr>
        <w:t xml:space="preserve"> the sounding/measurement gap is configured to extend </w:t>
      </w:r>
      <w:r w:rsidR="00360C69">
        <w:rPr>
          <w:sz w:val="22"/>
          <w:szCs w:val="22"/>
        </w:rPr>
        <w:t xml:space="preserve">the DL slot’s PDSCH to </w:t>
      </w:r>
      <w:r>
        <w:rPr>
          <w:sz w:val="22"/>
          <w:szCs w:val="22"/>
        </w:rPr>
        <w:t xml:space="preserve">PUCCH </w:t>
      </w:r>
      <w:r w:rsidR="00360C69">
        <w:rPr>
          <w:sz w:val="22"/>
          <w:szCs w:val="22"/>
        </w:rPr>
        <w:t xml:space="preserve">gap </w:t>
      </w:r>
      <w:r>
        <w:rPr>
          <w:sz w:val="22"/>
          <w:szCs w:val="22"/>
        </w:rPr>
        <w:t xml:space="preserve">by one symbol. This provides for one sounding/measurement opportunity </w:t>
      </w:r>
      <w:r w:rsidR="00360C69">
        <w:rPr>
          <w:sz w:val="22"/>
          <w:szCs w:val="22"/>
        </w:rPr>
        <w:t xml:space="preserve">which is used by all </w:t>
      </w:r>
      <w:r>
        <w:rPr>
          <w:sz w:val="22"/>
          <w:szCs w:val="22"/>
        </w:rPr>
        <w:t>default and converting transmitters to sound an “RTS”</w:t>
      </w:r>
      <w:r w:rsidR="00360C69">
        <w:rPr>
          <w:sz w:val="22"/>
          <w:szCs w:val="22"/>
        </w:rPr>
        <w:t xml:space="preserve"> signals. All </w:t>
      </w:r>
      <w:r>
        <w:rPr>
          <w:sz w:val="22"/>
          <w:szCs w:val="22"/>
        </w:rPr>
        <w:t>default and converting</w:t>
      </w:r>
      <w:r w:rsidR="00360C69">
        <w:rPr>
          <w:sz w:val="22"/>
          <w:szCs w:val="22"/>
        </w:rPr>
        <w:t xml:space="preserve"> receivers </w:t>
      </w:r>
      <w:r w:rsidR="00F83080">
        <w:rPr>
          <w:sz w:val="22"/>
          <w:szCs w:val="22"/>
        </w:rPr>
        <w:t>measure these</w:t>
      </w:r>
      <w:r w:rsidR="00360C69">
        <w:rPr>
          <w:sz w:val="22"/>
          <w:szCs w:val="22"/>
        </w:rPr>
        <w:t xml:space="preserve"> </w:t>
      </w:r>
      <w:r w:rsidR="00F83080">
        <w:rPr>
          <w:sz w:val="22"/>
          <w:szCs w:val="22"/>
        </w:rPr>
        <w:t xml:space="preserve">RTS </w:t>
      </w:r>
      <w:r w:rsidR="00360C69">
        <w:rPr>
          <w:sz w:val="22"/>
          <w:szCs w:val="22"/>
        </w:rPr>
        <w:t>signal</w:t>
      </w:r>
      <w:r w:rsidR="00F83080">
        <w:rPr>
          <w:sz w:val="22"/>
          <w:szCs w:val="22"/>
        </w:rPr>
        <w:t>s</w:t>
      </w:r>
      <w:r w:rsidR="00360C69">
        <w:rPr>
          <w:sz w:val="22"/>
          <w:szCs w:val="22"/>
        </w:rPr>
        <w:t xml:space="preserve"> to report</w:t>
      </w:r>
      <w:r>
        <w:rPr>
          <w:sz w:val="22"/>
          <w:szCs w:val="22"/>
        </w:rPr>
        <w:t xml:space="preserve"> </w:t>
      </w:r>
      <w:r w:rsidR="00360C69">
        <w:rPr>
          <w:sz w:val="22"/>
          <w:szCs w:val="22"/>
        </w:rPr>
        <w:t>back (during DL slot’s PUCCH) the MCS that they can</w:t>
      </w:r>
      <w:r>
        <w:rPr>
          <w:sz w:val="22"/>
          <w:szCs w:val="22"/>
        </w:rPr>
        <w:t xml:space="preserve"> use in th</w:t>
      </w:r>
      <w:r w:rsidR="00360C69">
        <w:rPr>
          <w:sz w:val="22"/>
          <w:szCs w:val="22"/>
        </w:rPr>
        <w:t>e next slot when conversion</w:t>
      </w:r>
      <w:r w:rsidR="00F83080">
        <w:rPr>
          <w:sz w:val="22"/>
          <w:szCs w:val="22"/>
        </w:rPr>
        <w:t>s</w:t>
      </w:r>
      <w:r w:rsidR="00360C69">
        <w:rPr>
          <w:sz w:val="22"/>
          <w:szCs w:val="22"/>
        </w:rPr>
        <w:t xml:space="preserve"> </w:t>
      </w:r>
      <w:r>
        <w:rPr>
          <w:sz w:val="22"/>
          <w:szCs w:val="22"/>
        </w:rPr>
        <w:t>take place. In t</w:t>
      </w:r>
      <w:r w:rsidR="00F83080">
        <w:rPr>
          <w:sz w:val="22"/>
          <w:szCs w:val="22"/>
        </w:rPr>
        <w:t>his scheme CLI is</w:t>
      </w:r>
      <w:r>
        <w:rPr>
          <w:sz w:val="22"/>
          <w:szCs w:val="22"/>
        </w:rPr>
        <w:t xml:space="preserve"> manage</w:t>
      </w:r>
      <w:r w:rsidR="00F83080">
        <w:rPr>
          <w:sz w:val="22"/>
          <w:szCs w:val="22"/>
        </w:rPr>
        <w:t>d by updating</w:t>
      </w:r>
      <w:r>
        <w:rPr>
          <w:sz w:val="22"/>
          <w:szCs w:val="22"/>
        </w:rPr>
        <w:t xml:space="preserve"> MCS base</w:t>
      </w:r>
      <w:r w:rsidR="00F83080">
        <w:rPr>
          <w:sz w:val="22"/>
          <w:szCs w:val="22"/>
        </w:rPr>
        <w:t>d on CLI</w:t>
      </w:r>
      <w:r>
        <w:rPr>
          <w:sz w:val="22"/>
          <w:szCs w:val="22"/>
        </w:rPr>
        <w:t xml:space="preserve"> meas</w:t>
      </w:r>
      <w:r w:rsidR="00F83080">
        <w:rPr>
          <w:sz w:val="22"/>
          <w:szCs w:val="22"/>
        </w:rPr>
        <w:t xml:space="preserve">urements </w:t>
      </w:r>
      <w:r w:rsidR="00830C36">
        <w:rPr>
          <w:sz w:val="22"/>
          <w:szCs w:val="22"/>
        </w:rPr>
        <w:t>(see [2] for further details)</w:t>
      </w:r>
      <w:r>
        <w:rPr>
          <w:sz w:val="22"/>
          <w:szCs w:val="22"/>
        </w:rPr>
        <w:t>.</w:t>
      </w:r>
    </w:p>
    <w:p w14:paraId="1625EB83" w14:textId="3B74EE16" w:rsidR="009C4DCD" w:rsidRPr="00C62B0B" w:rsidRDefault="009C4DCD" w:rsidP="009C4DCD">
      <w:pPr>
        <w:rPr>
          <w:b/>
          <w:i/>
          <w:sz w:val="22"/>
          <w:szCs w:val="22"/>
        </w:rPr>
      </w:pPr>
      <w:r>
        <w:rPr>
          <w:b/>
          <w:i/>
          <w:sz w:val="22"/>
          <w:szCs w:val="22"/>
        </w:rPr>
        <w:t xml:space="preserve">Observation 2: The </w:t>
      </w:r>
      <w:r w:rsidRPr="00C62B0B">
        <w:rPr>
          <w:b/>
          <w:i/>
          <w:sz w:val="22"/>
          <w:szCs w:val="22"/>
        </w:rPr>
        <w:t>proposed framework is flexible enough to support a wide variety of CLI management schemes, e.g., [2]</w:t>
      </w:r>
      <w:r>
        <w:rPr>
          <w:b/>
          <w:i/>
          <w:sz w:val="22"/>
          <w:szCs w:val="22"/>
        </w:rPr>
        <w:t xml:space="preserve"> gives</w:t>
      </w:r>
      <w:r w:rsidR="00E138E1">
        <w:rPr>
          <w:b/>
          <w:i/>
          <w:sz w:val="22"/>
          <w:szCs w:val="22"/>
        </w:rPr>
        <w:t xml:space="preserve"> details of three such schemes, </w:t>
      </w:r>
      <w:r w:rsidR="0016142D">
        <w:rPr>
          <w:b/>
          <w:i/>
          <w:sz w:val="22"/>
          <w:szCs w:val="22"/>
        </w:rPr>
        <w:t>i.e., one</w:t>
      </w:r>
      <w:r>
        <w:rPr>
          <w:b/>
          <w:i/>
          <w:sz w:val="22"/>
          <w:szCs w:val="22"/>
        </w:rPr>
        <w:t xml:space="preserve"> long-term</w:t>
      </w:r>
      <w:r w:rsidR="007627EA">
        <w:rPr>
          <w:b/>
          <w:i/>
          <w:sz w:val="22"/>
          <w:szCs w:val="22"/>
        </w:rPr>
        <w:t xml:space="preserve"> </w:t>
      </w:r>
      <w:r>
        <w:rPr>
          <w:b/>
          <w:i/>
          <w:sz w:val="22"/>
          <w:szCs w:val="22"/>
        </w:rPr>
        <w:t>and two short-t</w:t>
      </w:r>
      <w:r w:rsidR="00E1696A">
        <w:rPr>
          <w:b/>
          <w:i/>
          <w:sz w:val="22"/>
          <w:szCs w:val="22"/>
        </w:rPr>
        <w:t xml:space="preserve">erm </w:t>
      </w:r>
      <w:r w:rsidR="006C4E93">
        <w:rPr>
          <w:b/>
          <w:i/>
          <w:sz w:val="22"/>
          <w:szCs w:val="22"/>
        </w:rPr>
        <w:t xml:space="preserve">CLI management </w:t>
      </w:r>
      <w:r w:rsidR="00E1696A">
        <w:rPr>
          <w:b/>
          <w:i/>
          <w:sz w:val="22"/>
          <w:szCs w:val="22"/>
        </w:rPr>
        <w:t>schemes</w:t>
      </w:r>
      <w:r w:rsidR="00E138E1">
        <w:rPr>
          <w:b/>
          <w:i/>
          <w:sz w:val="22"/>
          <w:szCs w:val="22"/>
        </w:rPr>
        <w:t>.</w:t>
      </w:r>
    </w:p>
    <w:p w14:paraId="2EDA4026" w14:textId="77777777" w:rsidR="00B7337E" w:rsidRPr="00B7337E" w:rsidRDefault="00B7337E" w:rsidP="00B7337E">
      <w:pPr>
        <w:pStyle w:val="Heading1"/>
        <w:numPr>
          <w:ilvl w:val="0"/>
          <w:numId w:val="33"/>
        </w:numPr>
        <w:jc w:val="both"/>
        <w:rPr>
          <w:lang w:eastAsia="en-US"/>
        </w:rPr>
      </w:pPr>
      <w:r w:rsidRPr="00B7337E">
        <w:rPr>
          <w:lang w:eastAsia="en-US"/>
        </w:rPr>
        <w:t>Long-term UE-to-UE cross-link measurement</w:t>
      </w:r>
    </w:p>
    <w:p w14:paraId="05DBABE1" w14:textId="0A8A55A9" w:rsidR="00B7337E" w:rsidRPr="00B7337E" w:rsidRDefault="00B7337E" w:rsidP="00B7337E">
      <w:pPr>
        <w:rPr>
          <w:color w:val="auto"/>
          <w:sz w:val="22"/>
          <w:lang w:eastAsia="en-US"/>
        </w:rPr>
      </w:pPr>
      <w:r w:rsidRPr="00B7337E">
        <w:rPr>
          <w:color w:val="auto"/>
          <w:sz w:val="22"/>
          <w:lang w:eastAsia="en-US"/>
        </w:rPr>
        <w:t>The long-term UE-to-UE cross-link measurement procedure aims to provide information to the network about potential scenarios where severe UE-to-UE cross-link interference may arise, so that the network may avoid or mitigate the performance impact due to such scenarios by incorporating this information into scheduling choices and / or interference mitigation schemes.</w:t>
      </w:r>
      <w:r w:rsidR="00526CAB">
        <w:rPr>
          <w:color w:val="auto"/>
          <w:sz w:val="22"/>
          <w:lang w:eastAsia="en-US"/>
        </w:rPr>
        <w:t xml:space="preserve"> In </w:t>
      </w:r>
      <w:r w:rsidR="00526CAB">
        <w:rPr>
          <w:color w:val="auto"/>
          <w:sz w:val="22"/>
          <w:lang w:eastAsia="en-US"/>
        </w:rPr>
        <w:fldChar w:fldCharType="begin"/>
      </w:r>
      <w:r w:rsidR="00526CAB">
        <w:rPr>
          <w:color w:val="auto"/>
          <w:sz w:val="22"/>
          <w:lang w:eastAsia="en-US"/>
        </w:rPr>
        <w:instrText xml:space="preserve"> REF _Ref485375705 \r \h </w:instrText>
      </w:r>
      <w:r w:rsidR="00526CAB">
        <w:rPr>
          <w:color w:val="auto"/>
          <w:sz w:val="22"/>
          <w:lang w:eastAsia="en-US"/>
        </w:rPr>
      </w:r>
      <w:r w:rsidR="00526CAB">
        <w:rPr>
          <w:color w:val="auto"/>
          <w:sz w:val="22"/>
          <w:lang w:eastAsia="en-US"/>
        </w:rPr>
        <w:fldChar w:fldCharType="separate"/>
      </w:r>
      <w:r w:rsidR="00526CAB">
        <w:rPr>
          <w:color w:val="auto"/>
          <w:sz w:val="22"/>
          <w:lang w:eastAsia="en-US"/>
        </w:rPr>
        <w:t>[3]</w:t>
      </w:r>
      <w:r w:rsidR="00526CAB">
        <w:rPr>
          <w:color w:val="auto"/>
          <w:sz w:val="22"/>
          <w:lang w:eastAsia="en-US"/>
        </w:rPr>
        <w:fldChar w:fldCharType="end"/>
      </w:r>
      <w:r w:rsidR="00526CAB">
        <w:rPr>
          <w:color w:val="auto"/>
          <w:sz w:val="22"/>
          <w:lang w:eastAsia="en-US"/>
        </w:rPr>
        <w:t xml:space="preserve">, we had discussed some considerations related to UE-to-UE cross-link interference </w:t>
      </w:r>
      <w:r w:rsidR="00384701">
        <w:rPr>
          <w:color w:val="auto"/>
          <w:sz w:val="22"/>
          <w:lang w:eastAsia="en-US"/>
        </w:rPr>
        <w:t xml:space="preserve">(CLI) </w:t>
      </w:r>
      <w:r w:rsidR="00526CAB">
        <w:rPr>
          <w:color w:val="auto"/>
          <w:sz w:val="22"/>
          <w:lang w:eastAsia="en-US"/>
        </w:rPr>
        <w:t xml:space="preserve">measurement. </w:t>
      </w:r>
    </w:p>
    <w:p w14:paraId="575D8172" w14:textId="77777777" w:rsidR="00B7337E" w:rsidRPr="00B7337E" w:rsidRDefault="00B7337E" w:rsidP="00B7337E">
      <w:pPr>
        <w:rPr>
          <w:color w:val="auto"/>
          <w:sz w:val="22"/>
          <w:lang w:eastAsia="en-US"/>
        </w:rPr>
      </w:pPr>
      <w:r w:rsidRPr="00B7337E">
        <w:rPr>
          <w:color w:val="auto"/>
          <w:sz w:val="22"/>
          <w:lang w:eastAsia="en-US"/>
        </w:rPr>
        <w:t xml:space="preserve">An important consideration for UE-to-UE CLI measurement mechanism is that every UE must have an opportunity to measure the CLI measurement signal from every potentially interfering other UE, in spite of the half-duplex constraint. </w:t>
      </w:r>
    </w:p>
    <w:p w14:paraId="393BE0C9" w14:textId="77777777" w:rsidR="00B7337E" w:rsidRPr="00B7337E" w:rsidRDefault="00B7337E" w:rsidP="00B7337E">
      <w:pPr>
        <w:rPr>
          <w:color w:val="auto"/>
          <w:sz w:val="22"/>
          <w:lang w:eastAsia="en-US"/>
        </w:rPr>
      </w:pPr>
      <w:r w:rsidRPr="00B7337E">
        <w:rPr>
          <w:color w:val="auto"/>
          <w:sz w:val="22"/>
          <w:lang w:eastAsia="en-US"/>
        </w:rPr>
        <w:t>Some simplifying assumptions can be made:</w:t>
      </w:r>
    </w:p>
    <w:p w14:paraId="492B47D9" w14:textId="77777777" w:rsidR="00B7337E" w:rsidRPr="00B7337E" w:rsidRDefault="00B7337E" w:rsidP="00B7337E">
      <w:pPr>
        <w:numPr>
          <w:ilvl w:val="0"/>
          <w:numId w:val="32"/>
        </w:numPr>
        <w:overflowPunct/>
        <w:autoSpaceDE/>
        <w:autoSpaceDN/>
        <w:adjustRightInd/>
        <w:spacing w:after="0"/>
        <w:textAlignment w:val="auto"/>
        <w:rPr>
          <w:rFonts w:ascii="Calibri" w:eastAsia="Calibri" w:hAnsi="Calibri"/>
          <w:color w:val="auto"/>
          <w:sz w:val="24"/>
          <w:szCs w:val="22"/>
          <w:lang w:eastAsia="en-US"/>
        </w:rPr>
      </w:pPr>
      <w:r w:rsidRPr="00B7337E">
        <w:rPr>
          <w:rFonts w:eastAsia="Calibri"/>
          <w:color w:val="auto"/>
          <w:sz w:val="22"/>
          <w:szCs w:val="22"/>
          <w:lang w:eastAsia="en-US"/>
        </w:rPr>
        <w:t>Since UEs in the same cell will not experience cross-link interference from each other, there is no need to allocate resources for UE-to-UE measurement for UEs in the same cell.</w:t>
      </w:r>
    </w:p>
    <w:p w14:paraId="1C703EF4" w14:textId="77777777" w:rsidR="00B7337E" w:rsidRPr="00B7337E" w:rsidRDefault="00B7337E" w:rsidP="00B7337E">
      <w:pPr>
        <w:numPr>
          <w:ilvl w:val="0"/>
          <w:numId w:val="32"/>
        </w:numPr>
        <w:overflowPunct/>
        <w:autoSpaceDE/>
        <w:autoSpaceDN/>
        <w:adjustRightInd/>
        <w:spacing w:after="0"/>
        <w:textAlignment w:val="auto"/>
        <w:rPr>
          <w:rFonts w:eastAsia="Calibri"/>
          <w:color w:val="auto"/>
          <w:sz w:val="22"/>
          <w:szCs w:val="22"/>
          <w:lang w:eastAsia="en-US"/>
        </w:rPr>
      </w:pPr>
      <w:r w:rsidRPr="00B7337E">
        <w:rPr>
          <w:rFonts w:eastAsia="Calibri"/>
          <w:color w:val="auto"/>
          <w:sz w:val="22"/>
          <w:szCs w:val="22"/>
          <w:lang w:eastAsia="en-US"/>
        </w:rPr>
        <w:t xml:space="preserve">Identifying potential severe UE-to-UE CLI scenarios requires a UE to measure only the interference power on the UE-to-UE sounding resources. There is no need to identify the UE </w:t>
      </w:r>
      <w:r w:rsidRPr="00B7337E">
        <w:rPr>
          <w:rFonts w:eastAsia="Calibri"/>
          <w:color w:val="auto"/>
          <w:sz w:val="22"/>
          <w:szCs w:val="22"/>
          <w:lang w:eastAsia="en-US"/>
        </w:rPr>
        <w:lastRenderedPageBreak/>
        <w:t xml:space="preserve">or its cell based on the reference signal used for CLI measurement. Such identification may be considered in further studies if the need arises. </w:t>
      </w:r>
    </w:p>
    <w:p w14:paraId="192BD86E" w14:textId="77777777" w:rsidR="00B7337E" w:rsidRPr="00B7337E" w:rsidRDefault="00B7337E" w:rsidP="00B7337E">
      <w:pPr>
        <w:rPr>
          <w:color w:val="auto"/>
          <w:sz w:val="22"/>
          <w:lang w:eastAsia="en-US"/>
        </w:rPr>
      </w:pPr>
    </w:p>
    <w:p w14:paraId="421AB9DF" w14:textId="2A0BCF60" w:rsidR="00B7337E" w:rsidRDefault="00B7337E" w:rsidP="00B7337E">
      <w:pPr>
        <w:rPr>
          <w:color w:val="auto"/>
          <w:sz w:val="22"/>
          <w:lang w:eastAsia="en-US"/>
        </w:rPr>
      </w:pPr>
      <w:r w:rsidRPr="00B7337E">
        <w:rPr>
          <w:color w:val="auto"/>
          <w:sz w:val="22"/>
          <w:lang w:eastAsia="en-US"/>
        </w:rPr>
        <w:t>Based on these assumptions, we propose the following.</w:t>
      </w:r>
    </w:p>
    <w:p w14:paraId="221F503F" w14:textId="7A6F73DE" w:rsidR="00BD1211" w:rsidRPr="00BD1211" w:rsidRDefault="00BD1211" w:rsidP="00B7337E">
      <w:pPr>
        <w:rPr>
          <w:b/>
          <w:color w:val="auto"/>
          <w:sz w:val="22"/>
          <w:lang w:eastAsia="en-US"/>
        </w:rPr>
      </w:pPr>
      <w:r w:rsidRPr="00C55B4C">
        <w:rPr>
          <w:b/>
          <w:color w:val="auto"/>
          <w:sz w:val="22"/>
          <w:lang w:eastAsia="en-US"/>
        </w:rPr>
        <w:t xml:space="preserve">Proposal </w:t>
      </w:r>
      <w:r>
        <w:rPr>
          <w:b/>
          <w:color w:val="auto"/>
          <w:sz w:val="22"/>
          <w:lang w:eastAsia="en-US"/>
        </w:rPr>
        <w:t>5</w:t>
      </w:r>
      <w:r w:rsidRPr="00C55B4C">
        <w:rPr>
          <w:b/>
          <w:color w:val="auto"/>
          <w:sz w:val="22"/>
          <w:lang w:eastAsia="en-US"/>
        </w:rPr>
        <w:t xml:space="preserve">: </w:t>
      </w:r>
      <w:r w:rsidRPr="0026679A">
        <w:rPr>
          <w:color w:val="auto"/>
          <w:sz w:val="22"/>
          <w:lang w:eastAsia="en-US"/>
        </w:rPr>
        <w:t>As a starting point, long-term cross-link interference measurement should not require a measuring UE to identify the sounding UE or its cell based on the reference signal used for CLI measurement.</w:t>
      </w:r>
    </w:p>
    <w:p w14:paraId="7E9974E9" w14:textId="77777777" w:rsidR="00B7337E" w:rsidRPr="00B7337E" w:rsidRDefault="00B7337E" w:rsidP="0037652E">
      <w:pPr>
        <w:pStyle w:val="Heading2"/>
        <w:numPr>
          <w:ilvl w:val="1"/>
          <w:numId w:val="33"/>
        </w:numPr>
        <w:rPr>
          <w:lang w:eastAsia="en-US"/>
        </w:rPr>
      </w:pPr>
      <w:bookmarkStart w:id="1" w:name="_Ref485371613"/>
      <w:r w:rsidRPr="00B7337E">
        <w:rPr>
          <w:lang w:eastAsia="en-US"/>
        </w:rPr>
        <w:t>Cell-specific UE-to-UE sounding and measurement configuration</w:t>
      </w:r>
      <w:bookmarkEnd w:id="1"/>
    </w:p>
    <w:p w14:paraId="602712AB" w14:textId="77777777" w:rsidR="00B7337E" w:rsidRPr="00B7337E" w:rsidRDefault="00B7337E" w:rsidP="00B7337E">
      <w:pPr>
        <w:rPr>
          <w:color w:val="auto"/>
          <w:sz w:val="22"/>
          <w:lang w:eastAsia="en-US"/>
        </w:rPr>
      </w:pPr>
      <w:r w:rsidRPr="00B7337E">
        <w:rPr>
          <w:color w:val="auto"/>
          <w:sz w:val="22"/>
          <w:lang w:eastAsia="en-US"/>
        </w:rPr>
        <w:t>Based on the discussion above, UEs within the same cell need not sound to each other. Also, UEs within the same cell need not be distinguished from each other by a neighbour cell measuring UE. This allows UEs within the same cell to be configured with the same resources for transmitting the reference signal associated with CLI measurement. Without this simplification, a resource would have to be set aside for every pair of UEs in the system, which would result in a very large overhead.</w:t>
      </w:r>
    </w:p>
    <w:p w14:paraId="2109B051" w14:textId="77777777" w:rsidR="00BD1211" w:rsidRPr="00C55B4C" w:rsidRDefault="00BD1211" w:rsidP="00BD1211">
      <w:pPr>
        <w:rPr>
          <w:b/>
          <w:color w:val="auto"/>
          <w:sz w:val="22"/>
          <w:lang w:eastAsia="en-US"/>
        </w:rPr>
      </w:pPr>
      <w:r w:rsidRPr="00C55B4C">
        <w:rPr>
          <w:b/>
          <w:color w:val="auto"/>
          <w:sz w:val="22"/>
          <w:lang w:eastAsia="en-US"/>
        </w:rPr>
        <w:t xml:space="preserve">Proposal </w:t>
      </w:r>
      <w:r>
        <w:rPr>
          <w:b/>
          <w:color w:val="auto"/>
          <w:sz w:val="22"/>
          <w:lang w:eastAsia="en-US"/>
        </w:rPr>
        <w:t>6</w:t>
      </w:r>
      <w:r w:rsidRPr="00C55B4C">
        <w:rPr>
          <w:b/>
          <w:color w:val="auto"/>
          <w:sz w:val="22"/>
          <w:lang w:eastAsia="en-US"/>
        </w:rPr>
        <w:t xml:space="preserve">: </w:t>
      </w:r>
      <w:r w:rsidRPr="00F970DE">
        <w:rPr>
          <w:color w:val="auto"/>
          <w:sz w:val="22"/>
          <w:lang w:eastAsia="en-US"/>
        </w:rPr>
        <w:t>For long-term UE-to-UE CLI measurement, UEs in the same cell can share the same sounding resource to transmit the reference signal.</w:t>
      </w:r>
    </w:p>
    <w:p w14:paraId="7369426A" w14:textId="42704EE7" w:rsidR="00B7337E" w:rsidRDefault="00B7337E" w:rsidP="00B7337E">
      <w:pPr>
        <w:rPr>
          <w:color w:val="auto"/>
          <w:sz w:val="22"/>
          <w:lang w:eastAsia="en-US"/>
        </w:rPr>
      </w:pPr>
      <w:r w:rsidRPr="00B7337E">
        <w:rPr>
          <w:color w:val="auto"/>
          <w:sz w:val="22"/>
          <w:lang w:eastAsia="en-US"/>
        </w:rPr>
        <w:t xml:space="preserve">Moreover, the configuration for sounding and measurement is common to all UEs within a cell, and therefore, the configuration signalling may be performed in a multicast or broadcast manner, thereby reducing signalling overhead. </w:t>
      </w:r>
    </w:p>
    <w:p w14:paraId="5EDD1979" w14:textId="77777777" w:rsidR="00BD1211" w:rsidRPr="00C55B4C" w:rsidRDefault="00BD1211" w:rsidP="00BD1211">
      <w:pPr>
        <w:rPr>
          <w:b/>
          <w:color w:val="auto"/>
          <w:sz w:val="22"/>
          <w:lang w:eastAsia="en-US"/>
        </w:rPr>
      </w:pPr>
      <w:r w:rsidRPr="00C55B4C">
        <w:rPr>
          <w:b/>
          <w:color w:val="auto"/>
          <w:sz w:val="22"/>
          <w:lang w:eastAsia="en-US"/>
        </w:rPr>
        <w:t xml:space="preserve">Proposal </w:t>
      </w:r>
      <w:r>
        <w:rPr>
          <w:b/>
          <w:color w:val="auto"/>
          <w:sz w:val="22"/>
          <w:lang w:eastAsia="en-US"/>
        </w:rPr>
        <w:t>7</w:t>
      </w:r>
      <w:r w:rsidRPr="00C55B4C">
        <w:rPr>
          <w:b/>
          <w:color w:val="auto"/>
          <w:sz w:val="22"/>
          <w:lang w:eastAsia="en-US"/>
        </w:rPr>
        <w:t xml:space="preserve">: </w:t>
      </w:r>
      <w:r w:rsidRPr="00F970DE">
        <w:rPr>
          <w:color w:val="auto"/>
          <w:sz w:val="22"/>
          <w:lang w:eastAsia="en-US"/>
        </w:rPr>
        <w:t>Configuration of long-term UE-to-UE sounding and measurement procedure may be performed in a cell-specific manner to all UEs within a cell, using a multicast or broadcast signalling message using group-common PDCCH or RRC or system information.</w:t>
      </w:r>
    </w:p>
    <w:p w14:paraId="4F744528" w14:textId="77777777" w:rsidR="00B7337E" w:rsidRPr="00B7337E" w:rsidRDefault="00B7337E" w:rsidP="00B7337E">
      <w:pPr>
        <w:pStyle w:val="Heading2"/>
        <w:numPr>
          <w:ilvl w:val="1"/>
          <w:numId w:val="33"/>
        </w:numPr>
        <w:rPr>
          <w:lang w:eastAsia="en-US"/>
        </w:rPr>
      </w:pPr>
      <w:r w:rsidRPr="00B7337E">
        <w:rPr>
          <w:lang w:eastAsia="en-US"/>
        </w:rPr>
        <w:t>UE-to-UE sounding and measurement pattern</w:t>
      </w:r>
    </w:p>
    <w:p w14:paraId="3A8DF2BD" w14:textId="77777777" w:rsidR="00B7337E" w:rsidRPr="00B7337E" w:rsidRDefault="00B7337E" w:rsidP="00B7337E">
      <w:pPr>
        <w:rPr>
          <w:color w:val="auto"/>
          <w:sz w:val="22"/>
          <w:lang w:eastAsia="en-US"/>
        </w:rPr>
      </w:pPr>
      <w:r w:rsidRPr="00B7337E">
        <w:rPr>
          <w:color w:val="auto"/>
          <w:sz w:val="22"/>
          <w:lang w:eastAsia="en-US"/>
        </w:rPr>
        <w:t>The following example illustrates a UE-to-UE sounding and measurement pattern for a network with 10 cells. Here, every row in the table corresponds to one cell. The pattern in the row indicates the sounding and measurement instances for all UEs in that cell.</w:t>
      </w:r>
    </w:p>
    <w:p w14:paraId="72A60304" w14:textId="77777777" w:rsidR="00B7337E" w:rsidRPr="00B7337E" w:rsidRDefault="00B7337E" w:rsidP="00B7337E">
      <w:pPr>
        <w:rPr>
          <w:color w:val="auto"/>
          <w:sz w:val="22"/>
          <w:lang w:eastAsia="en-US"/>
        </w:rPr>
      </w:pPr>
    </w:p>
    <w:p w14:paraId="65CE9FCB" w14:textId="77777777" w:rsidR="00B7337E" w:rsidRPr="00B7337E" w:rsidRDefault="00B7337E" w:rsidP="00B7337E">
      <w:pPr>
        <w:keepNext/>
        <w:jc w:val="center"/>
        <w:rPr>
          <w:color w:val="auto"/>
          <w:sz w:val="22"/>
          <w:lang w:val="en-US" w:eastAsia="en-US"/>
        </w:rPr>
      </w:pPr>
      <w:r w:rsidRPr="00B7337E">
        <w:rPr>
          <w:noProof/>
          <w:color w:val="auto"/>
          <w:sz w:val="22"/>
          <w:lang w:val="en-US" w:eastAsia="zh-CN"/>
        </w:rPr>
        <w:lastRenderedPageBreak/>
        <w:drawing>
          <wp:inline distT="0" distB="0" distL="0" distR="0" wp14:anchorId="330B730D" wp14:editId="59498733">
            <wp:extent cx="2439240" cy="405690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undingPattern.png"/>
                    <pic:cNvPicPr/>
                  </pic:nvPicPr>
                  <pic:blipFill>
                    <a:blip r:embed="rId13">
                      <a:extLst>
                        <a:ext uri="{28A0092B-C50C-407E-A947-70E740481C1C}">
                          <a14:useLocalDpi xmlns:a14="http://schemas.microsoft.com/office/drawing/2010/main" val="0"/>
                        </a:ext>
                      </a:extLst>
                    </a:blip>
                    <a:stretch>
                      <a:fillRect/>
                    </a:stretch>
                  </pic:blipFill>
                  <pic:spPr>
                    <a:xfrm>
                      <a:off x="0" y="0"/>
                      <a:ext cx="2447674" cy="4070937"/>
                    </a:xfrm>
                    <a:prstGeom prst="rect">
                      <a:avLst/>
                    </a:prstGeom>
                  </pic:spPr>
                </pic:pic>
              </a:graphicData>
            </a:graphic>
          </wp:inline>
        </w:drawing>
      </w:r>
    </w:p>
    <w:p w14:paraId="42D52BF4" w14:textId="0049A0E5" w:rsidR="00B7337E" w:rsidRPr="00B7337E" w:rsidRDefault="00B7337E" w:rsidP="00B7337E">
      <w:pPr>
        <w:spacing w:before="120" w:after="120"/>
        <w:jc w:val="center"/>
        <w:rPr>
          <w:b/>
          <w:bCs/>
          <w:color w:val="auto"/>
          <w:sz w:val="22"/>
          <w:lang w:eastAsia="en-US"/>
        </w:rPr>
      </w:pPr>
      <w:bookmarkStart w:id="2" w:name="_Ref485370714"/>
      <w:r w:rsidRPr="00B7337E">
        <w:rPr>
          <w:b/>
          <w:bCs/>
          <w:color w:val="auto"/>
          <w:sz w:val="22"/>
          <w:lang w:val="en-US" w:eastAsia="en-US"/>
        </w:rPr>
        <w:t xml:space="preserve">Figure </w:t>
      </w:r>
      <w:r w:rsidRPr="00B7337E">
        <w:rPr>
          <w:b/>
          <w:bCs/>
          <w:color w:val="auto"/>
          <w:sz w:val="22"/>
          <w:lang w:val="en-US" w:eastAsia="en-US"/>
        </w:rPr>
        <w:fldChar w:fldCharType="begin"/>
      </w:r>
      <w:r w:rsidRPr="00B7337E">
        <w:rPr>
          <w:b/>
          <w:bCs/>
          <w:color w:val="auto"/>
          <w:sz w:val="22"/>
          <w:lang w:val="en-US" w:eastAsia="en-US"/>
        </w:rPr>
        <w:instrText xml:space="preserve"> SEQ Figure \* ARABIC </w:instrText>
      </w:r>
      <w:r w:rsidRPr="00B7337E">
        <w:rPr>
          <w:b/>
          <w:bCs/>
          <w:color w:val="auto"/>
          <w:sz w:val="22"/>
          <w:lang w:val="en-US" w:eastAsia="en-US"/>
        </w:rPr>
        <w:fldChar w:fldCharType="separate"/>
      </w:r>
      <w:r w:rsidR="00CA7BFA">
        <w:rPr>
          <w:b/>
          <w:bCs/>
          <w:noProof/>
          <w:color w:val="auto"/>
          <w:sz w:val="22"/>
          <w:lang w:val="en-US" w:eastAsia="en-US"/>
        </w:rPr>
        <w:t>1</w:t>
      </w:r>
      <w:r w:rsidRPr="00B7337E">
        <w:rPr>
          <w:b/>
          <w:bCs/>
          <w:color w:val="auto"/>
          <w:sz w:val="22"/>
          <w:lang w:val="en-US" w:eastAsia="en-US"/>
        </w:rPr>
        <w:fldChar w:fldCharType="end"/>
      </w:r>
      <w:bookmarkEnd w:id="2"/>
      <w:r w:rsidRPr="00B7337E">
        <w:rPr>
          <w:b/>
          <w:bCs/>
          <w:color w:val="auto"/>
          <w:sz w:val="22"/>
          <w:lang w:val="en-US" w:eastAsia="en-US"/>
        </w:rPr>
        <w:t>: Pattern for UE-to-UE sounding and measurement</w:t>
      </w:r>
    </w:p>
    <w:p w14:paraId="0703F720" w14:textId="77777777" w:rsidR="00B7337E" w:rsidRPr="00B7337E" w:rsidRDefault="00B7337E" w:rsidP="00B7337E">
      <w:pPr>
        <w:rPr>
          <w:color w:val="auto"/>
          <w:sz w:val="22"/>
          <w:lang w:val="en-US" w:eastAsia="en-US"/>
        </w:rPr>
      </w:pPr>
    </w:p>
    <w:p w14:paraId="3E2C450A" w14:textId="77777777" w:rsidR="00B7337E" w:rsidRPr="00B7337E" w:rsidRDefault="00B7337E" w:rsidP="00B7337E">
      <w:pPr>
        <w:rPr>
          <w:color w:val="auto"/>
          <w:sz w:val="22"/>
          <w:lang w:val="en-US" w:eastAsia="en-US"/>
        </w:rPr>
      </w:pPr>
      <w:r w:rsidRPr="00B7337E">
        <w:rPr>
          <w:color w:val="auto"/>
          <w:sz w:val="22"/>
          <w:lang w:val="en-US" w:eastAsia="en-US"/>
        </w:rPr>
        <w:t>The pattern is constructed in a manner that ensures that UEs in every cell have an opportunity to measure the reference signal from UEs in every other cell. As an example, UEs in cells 1 and 2 are both transmitting in the first opportunity, and therefore they cannot measure each other. However, in the second opportunity, UEs in cell 2 can measure the transmission of UEs in cell 1. Similarly, in the third opportunity, UEs in cell 1 can measure the transmission of UEs in cell 2.</w:t>
      </w:r>
    </w:p>
    <w:p w14:paraId="4361763C" w14:textId="43179FE9" w:rsidR="00B7337E" w:rsidRPr="00B7337E" w:rsidRDefault="00B7337E" w:rsidP="00B7337E">
      <w:pPr>
        <w:rPr>
          <w:color w:val="auto"/>
          <w:sz w:val="22"/>
          <w:lang w:val="en-US" w:eastAsia="en-US"/>
        </w:rPr>
      </w:pPr>
      <w:r w:rsidRPr="00B7337E">
        <w:rPr>
          <w:color w:val="auto"/>
          <w:sz w:val="22"/>
          <w:lang w:val="en-US" w:eastAsia="en-US"/>
        </w:rPr>
        <w:t xml:space="preserve">Specifically, the pattern is constructed using 5 sounding / measurement opportunities. Every cell is assigned a unique pair of these opportunities for sounding. The other three opportunities are used for measurement. Since there are </w:t>
      </w:r>
      <m:oMath>
        <m:d>
          <m:dPr>
            <m:ctrlPr>
              <w:rPr>
                <w:rFonts w:ascii="Cambria Math" w:hAnsi="Cambria Math"/>
                <w:i/>
                <w:color w:val="auto"/>
                <w:sz w:val="22"/>
                <w:lang w:val="en-US" w:eastAsia="en-US"/>
              </w:rPr>
            </m:ctrlPr>
          </m:dPr>
          <m:e>
            <m:eqArr>
              <m:eqArrPr>
                <m:ctrlPr>
                  <w:rPr>
                    <w:rFonts w:ascii="Cambria Math" w:hAnsi="Cambria Math"/>
                    <w:i/>
                    <w:color w:val="auto"/>
                    <w:sz w:val="22"/>
                    <w:lang w:val="en-US" w:eastAsia="en-US"/>
                  </w:rPr>
                </m:ctrlPr>
              </m:eqArrPr>
              <m:e>
                <m:r>
                  <w:rPr>
                    <w:rFonts w:ascii="Cambria Math" w:hAnsi="Cambria Math"/>
                    <w:color w:val="auto"/>
                    <w:sz w:val="22"/>
                    <w:lang w:val="en-US" w:eastAsia="en-US"/>
                  </w:rPr>
                  <m:t>5</m:t>
                </m:r>
              </m:e>
              <m:e>
                <m:r>
                  <w:rPr>
                    <w:rFonts w:ascii="Cambria Math" w:hAnsi="Cambria Math"/>
                    <w:color w:val="auto"/>
                    <w:sz w:val="22"/>
                    <w:lang w:val="en-US" w:eastAsia="en-US"/>
                  </w:rPr>
                  <m:t>2</m:t>
                </m:r>
              </m:e>
            </m:eqArr>
          </m:e>
        </m:d>
      </m:oMath>
      <w:r w:rsidRPr="00B7337E">
        <w:rPr>
          <w:color w:val="auto"/>
          <w:sz w:val="22"/>
          <w:lang w:val="en-US" w:eastAsia="en-US"/>
        </w:rPr>
        <w:t xml:space="preserve"> = 10 possible pairs, it is possible to accommodate 10 cells using this pattern, as shown in </w:t>
      </w:r>
      <w:r w:rsidRPr="00B7337E">
        <w:rPr>
          <w:color w:val="auto"/>
          <w:sz w:val="22"/>
          <w:lang w:val="en-US" w:eastAsia="en-US"/>
        </w:rPr>
        <w:fldChar w:fldCharType="begin"/>
      </w:r>
      <w:r w:rsidRPr="00B7337E">
        <w:rPr>
          <w:color w:val="auto"/>
          <w:sz w:val="22"/>
          <w:lang w:val="en-US" w:eastAsia="en-US"/>
        </w:rPr>
        <w:instrText xml:space="preserve"> REF _Ref485370714 \h </w:instrText>
      </w:r>
      <w:r>
        <w:rPr>
          <w:color w:val="auto"/>
          <w:sz w:val="22"/>
          <w:lang w:val="en-US" w:eastAsia="en-US"/>
        </w:rPr>
        <w:instrText xml:space="preserve"> \* MERGEFORMAT </w:instrText>
      </w:r>
      <w:r w:rsidRPr="00B7337E">
        <w:rPr>
          <w:color w:val="auto"/>
          <w:sz w:val="22"/>
          <w:lang w:val="en-US" w:eastAsia="en-US"/>
        </w:rPr>
      </w:r>
      <w:r w:rsidRPr="00B7337E">
        <w:rPr>
          <w:color w:val="auto"/>
          <w:sz w:val="22"/>
          <w:lang w:val="en-US" w:eastAsia="en-US"/>
        </w:rPr>
        <w:fldChar w:fldCharType="separate"/>
      </w:r>
      <w:r w:rsidR="00CA7BFA" w:rsidRPr="00B7337E">
        <w:rPr>
          <w:color w:val="auto"/>
          <w:sz w:val="22"/>
          <w:lang w:val="en-US" w:eastAsia="en-US"/>
        </w:rPr>
        <w:t xml:space="preserve">Figure </w:t>
      </w:r>
      <w:r w:rsidR="00CA7BFA" w:rsidRPr="00CA7BFA">
        <w:rPr>
          <w:noProof/>
          <w:color w:val="auto"/>
          <w:sz w:val="22"/>
          <w:lang w:val="en-US" w:eastAsia="en-US"/>
        </w:rPr>
        <w:t>1</w:t>
      </w:r>
      <w:r w:rsidRPr="00B7337E">
        <w:rPr>
          <w:color w:val="auto"/>
          <w:sz w:val="22"/>
          <w:lang w:val="en-US" w:eastAsia="en-US"/>
        </w:rPr>
        <w:fldChar w:fldCharType="end"/>
      </w:r>
      <w:r w:rsidRPr="00B7337E">
        <w:rPr>
          <w:color w:val="auto"/>
          <w:sz w:val="22"/>
          <w:lang w:val="en-US" w:eastAsia="en-US"/>
        </w:rPr>
        <w:t xml:space="preserve">. </w:t>
      </w:r>
    </w:p>
    <w:p w14:paraId="0D01C154" w14:textId="77777777" w:rsidR="00B7337E" w:rsidRPr="00B7337E" w:rsidRDefault="00B7337E" w:rsidP="00B7337E">
      <w:pPr>
        <w:rPr>
          <w:color w:val="auto"/>
          <w:sz w:val="22"/>
          <w:lang w:val="en-US" w:eastAsia="en-US"/>
        </w:rPr>
      </w:pPr>
      <w:r w:rsidRPr="00B7337E">
        <w:rPr>
          <w:color w:val="auto"/>
          <w:sz w:val="22"/>
          <w:lang w:val="en-US" w:eastAsia="en-US"/>
        </w:rPr>
        <w:t xml:space="preserve">The pattern shown here can be generalized to accommodate up to </w:t>
      </w:r>
      <m:oMath>
        <m:d>
          <m:dPr>
            <m:ctrlPr>
              <w:rPr>
                <w:rFonts w:ascii="Cambria Math" w:hAnsi="Cambria Math"/>
                <w:i/>
                <w:color w:val="auto"/>
                <w:sz w:val="22"/>
                <w:lang w:val="en-US" w:eastAsia="en-US"/>
              </w:rPr>
            </m:ctrlPr>
          </m:dPr>
          <m:e>
            <m:eqArr>
              <m:eqArrPr>
                <m:ctrlPr>
                  <w:rPr>
                    <w:rFonts w:ascii="Cambria Math" w:hAnsi="Cambria Math"/>
                    <w:i/>
                    <w:color w:val="auto"/>
                    <w:sz w:val="22"/>
                    <w:lang w:val="en-US" w:eastAsia="en-US"/>
                  </w:rPr>
                </m:ctrlPr>
              </m:eqArrPr>
              <m:e>
                <m:r>
                  <w:rPr>
                    <w:rFonts w:ascii="Cambria Math" w:hAnsi="Cambria Math"/>
                    <w:color w:val="auto"/>
                    <w:sz w:val="22"/>
                    <w:lang w:val="en-US" w:eastAsia="en-US"/>
                  </w:rPr>
                  <m:t>T</m:t>
                </m:r>
              </m:e>
              <m:e>
                <m:r>
                  <w:rPr>
                    <w:rFonts w:ascii="Cambria Math" w:hAnsi="Cambria Math"/>
                    <w:color w:val="auto"/>
                    <w:sz w:val="22"/>
                    <w:lang w:val="en-US" w:eastAsia="en-US"/>
                  </w:rPr>
                  <m:t>K</m:t>
                </m:r>
              </m:e>
            </m:eqArr>
          </m:e>
        </m:d>
      </m:oMath>
      <w:r w:rsidRPr="00B7337E">
        <w:rPr>
          <w:color w:val="auto"/>
          <w:sz w:val="22"/>
          <w:lang w:val="en-US" w:eastAsia="en-US"/>
        </w:rPr>
        <w:t xml:space="preserve"> cells using T sounding / measurement opportunities where each cell is assigned a unique set of K opportunities for sounding and the remaining (T-K) opportunities for measurement. It can be shown that this pattern ensures that UEs in every pair of cells will have an opportunity to measure the dominant interference from each other, in spite of the half-duplex constraint. </w:t>
      </w:r>
    </w:p>
    <w:p w14:paraId="17626BB7" w14:textId="37026095" w:rsidR="00B7337E" w:rsidRPr="00B7337E" w:rsidRDefault="00B7337E" w:rsidP="00B7337E">
      <w:pPr>
        <w:rPr>
          <w:color w:val="auto"/>
          <w:sz w:val="22"/>
          <w:lang w:val="en-US" w:eastAsia="en-US"/>
        </w:rPr>
      </w:pPr>
      <w:r w:rsidRPr="00B7337E">
        <w:rPr>
          <w:color w:val="auto"/>
          <w:sz w:val="22"/>
          <w:lang w:val="en-US" w:eastAsia="en-US"/>
        </w:rPr>
        <w:t xml:space="preserve">As discussed in Section </w:t>
      </w:r>
      <w:r w:rsidRPr="00B7337E">
        <w:rPr>
          <w:color w:val="auto"/>
          <w:sz w:val="22"/>
          <w:lang w:val="en-US" w:eastAsia="en-US"/>
        </w:rPr>
        <w:fldChar w:fldCharType="begin"/>
      </w:r>
      <w:r w:rsidRPr="00B7337E">
        <w:rPr>
          <w:color w:val="auto"/>
          <w:sz w:val="22"/>
          <w:lang w:val="en-US" w:eastAsia="en-US"/>
        </w:rPr>
        <w:instrText xml:space="preserve"> REF _Ref485371613 \r \h </w:instrText>
      </w:r>
      <w:r>
        <w:rPr>
          <w:color w:val="auto"/>
          <w:sz w:val="22"/>
          <w:lang w:val="en-US" w:eastAsia="en-US"/>
        </w:rPr>
        <w:instrText xml:space="preserve"> \* MERGEFORMAT </w:instrText>
      </w:r>
      <w:r w:rsidRPr="00B7337E">
        <w:rPr>
          <w:color w:val="auto"/>
          <w:sz w:val="22"/>
          <w:lang w:val="en-US" w:eastAsia="en-US"/>
        </w:rPr>
      </w:r>
      <w:r w:rsidRPr="00B7337E">
        <w:rPr>
          <w:color w:val="auto"/>
          <w:sz w:val="22"/>
          <w:lang w:val="en-US" w:eastAsia="en-US"/>
        </w:rPr>
        <w:fldChar w:fldCharType="separate"/>
      </w:r>
      <w:r w:rsidR="00CA7BFA">
        <w:rPr>
          <w:color w:val="auto"/>
          <w:sz w:val="22"/>
          <w:lang w:val="en-US" w:eastAsia="en-US"/>
        </w:rPr>
        <w:t>3.1</w:t>
      </w:r>
      <w:r w:rsidRPr="00B7337E">
        <w:rPr>
          <w:color w:val="auto"/>
          <w:sz w:val="22"/>
          <w:lang w:val="en-US" w:eastAsia="en-US"/>
        </w:rPr>
        <w:fldChar w:fldCharType="end"/>
      </w:r>
      <w:r w:rsidRPr="00B7337E">
        <w:rPr>
          <w:color w:val="auto"/>
          <w:sz w:val="22"/>
          <w:lang w:val="en-US" w:eastAsia="en-US"/>
        </w:rPr>
        <w:t xml:space="preserve">, within a sounding opportunity, UEs of the same cell share the same resource for the sounding transmission. However, the sounding transmissions from UEs of two different cells that are assigned the same sounding opportunity may or may not share the resource. As an example, each </w:t>
      </w:r>
      <w:r w:rsidR="00DF13A7">
        <w:rPr>
          <w:color w:val="auto"/>
          <w:sz w:val="22"/>
          <w:lang w:val="en-US" w:eastAsia="en-US"/>
        </w:rPr>
        <w:t>TRP</w:t>
      </w:r>
      <w:r w:rsidRPr="00B7337E">
        <w:rPr>
          <w:color w:val="auto"/>
          <w:sz w:val="22"/>
          <w:lang w:val="en-US" w:eastAsia="en-US"/>
        </w:rPr>
        <w:t xml:space="preserve"> may further select a sub-band in frequency domain or a code sequence in the code sequence domain. </w:t>
      </w:r>
    </w:p>
    <w:p w14:paraId="35CB07CC" w14:textId="77777777" w:rsidR="00B7337E" w:rsidRPr="00B7337E" w:rsidRDefault="00B7337E" w:rsidP="00B7337E">
      <w:pPr>
        <w:rPr>
          <w:color w:val="auto"/>
          <w:sz w:val="22"/>
          <w:lang w:val="en-US" w:eastAsia="en-US"/>
        </w:rPr>
      </w:pPr>
      <w:r w:rsidRPr="00B7337E">
        <w:rPr>
          <w:color w:val="auto"/>
          <w:sz w:val="22"/>
          <w:lang w:val="en-US" w:eastAsia="en-US"/>
        </w:rPr>
        <w:t xml:space="preserve">The power used by the UEs for sounding requires some careful consideration. The power control for regular SRS for uplink channel sounding is configured taking into account the inter-cell interference </w:t>
      </w:r>
      <w:r w:rsidRPr="00B7337E">
        <w:rPr>
          <w:color w:val="auto"/>
          <w:sz w:val="22"/>
          <w:lang w:val="en-US" w:eastAsia="en-US"/>
        </w:rPr>
        <w:lastRenderedPageBreak/>
        <w:t xml:space="preserve">from neighbor cell SRS transmissions. However, for the UE-to-UE sounding transmissions, the criteria for selecting a power control set point may be different. As a result, the sounding configuration must include separate power control parameters for the UE-to-UE sounding reference signal. </w:t>
      </w:r>
    </w:p>
    <w:p w14:paraId="48F6FF6A" w14:textId="35F63CE8" w:rsidR="00B7337E" w:rsidRPr="00B7337E" w:rsidRDefault="00B7337E" w:rsidP="00B7337E">
      <w:pPr>
        <w:rPr>
          <w:color w:val="auto"/>
          <w:sz w:val="22"/>
          <w:lang w:val="en-US" w:eastAsia="en-US"/>
        </w:rPr>
      </w:pPr>
      <w:r w:rsidRPr="00B7337E">
        <w:rPr>
          <w:color w:val="auto"/>
          <w:sz w:val="22"/>
          <w:lang w:val="en-US" w:eastAsia="en-US"/>
        </w:rPr>
        <w:t xml:space="preserve">The </w:t>
      </w:r>
      <w:r w:rsidR="00DF13A7">
        <w:rPr>
          <w:color w:val="auto"/>
          <w:sz w:val="22"/>
          <w:lang w:val="en-US" w:eastAsia="en-US"/>
        </w:rPr>
        <w:t>TRP</w:t>
      </w:r>
      <w:r w:rsidRPr="00B7337E">
        <w:rPr>
          <w:color w:val="auto"/>
          <w:sz w:val="22"/>
          <w:lang w:val="en-US" w:eastAsia="en-US"/>
        </w:rPr>
        <w:t xml:space="preserve"> then configures its served UEs with the following information using cell-specific signaling as described in Section </w:t>
      </w:r>
      <w:r w:rsidRPr="00B7337E">
        <w:rPr>
          <w:color w:val="auto"/>
          <w:sz w:val="22"/>
          <w:lang w:val="en-US" w:eastAsia="en-US"/>
        </w:rPr>
        <w:fldChar w:fldCharType="begin"/>
      </w:r>
      <w:r w:rsidRPr="00B7337E">
        <w:rPr>
          <w:color w:val="auto"/>
          <w:sz w:val="22"/>
          <w:lang w:val="en-US" w:eastAsia="en-US"/>
        </w:rPr>
        <w:instrText xml:space="preserve"> REF _Ref485371613 \r \h </w:instrText>
      </w:r>
      <w:r>
        <w:rPr>
          <w:color w:val="auto"/>
          <w:sz w:val="22"/>
          <w:lang w:val="en-US" w:eastAsia="en-US"/>
        </w:rPr>
        <w:instrText xml:space="preserve"> \* MERGEFORMAT </w:instrText>
      </w:r>
      <w:r w:rsidRPr="00B7337E">
        <w:rPr>
          <w:color w:val="auto"/>
          <w:sz w:val="22"/>
          <w:lang w:val="en-US" w:eastAsia="en-US"/>
        </w:rPr>
      </w:r>
      <w:r w:rsidRPr="00B7337E">
        <w:rPr>
          <w:color w:val="auto"/>
          <w:sz w:val="22"/>
          <w:lang w:val="en-US" w:eastAsia="en-US"/>
        </w:rPr>
        <w:fldChar w:fldCharType="separate"/>
      </w:r>
      <w:r w:rsidR="00CA7BFA">
        <w:rPr>
          <w:color w:val="auto"/>
          <w:sz w:val="22"/>
          <w:lang w:val="en-US" w:eastAsia="en-US"/>
        </w:rPr>
        <w:t>3.1</w:t>
      </w:r>
      <w:r w:rsidRPr="00B7337E">
        <w:rPr>
          <w:color w:val="auto"/>
          <w:sz w:val="22"/>
          <w:lang w:val="en-US" w:eastAsia="en-US"/>
        </w:rPr>
        <w:fldChar w:fldCharType="end"/>
      </w:r>
      <w:r w:rsidRPr="00B7337E">
        <w:rPr>
          <w:color w:val="auto"/>
          <w:sz w:val="22"/>
          <w:lang w:val="en-US" w:eastAsia="en-US"/>
        </w:rPr>
        <w:t>:</w:t>
      </w:r>
    </w:p>
    <w:p w14:paraId="46B16B56" w14:textId="77777777" w:rsidR="00B7337E" w:rsidRPr="00B7337E" w:rsidRDefault="00B7337E" w:rsidP="00B7337E">
      <w:pPr>
        <w:numPr>
          <w:ilvl w:val="0"/>
          <w:numId w:val="32"/>
        </w:numPr>
        <w:overflowPunct/>
        <w:autoSpaceDE/>
        <w:autoSpaceDN/>
        <w:adjustRightInd/>
        <w:spacing w:after="0"/>
        <w:textAlignment w:val="auto"/>
        <w:rPr>
          <w:rFonts w:eastAsia="Calibri"/>
          <w:color w:val="auto"/>
          <w:sz w:val="22"/>
          <w:szCs w:val="22"/>
          <w:lang w:val="en-US" w:eastAsia="en-US"/>
        </w:rPr>
      </w:pPr>
      <w:r w:rsidRPr="00B7337E">
        <w:rPr>
          <w:rFonts w:eastAsia="Calibri"/>
          <w:color w:val="auto"/>
          <w:sz w:val="22"/>
          <w:szCs w:val="22"/>
          <w:lang w:val="en-US" w:eastAsia="en-US"/>
        </w:rPr>
        <w:t xml:space="preserve">selected resource for sounding, </w:t>
      </w:r>
    </w:p>
    <w:p w14:paraId="1F6F9650" w14:textId="77777777" w:rsidR="00B7337E" w:rsidRPr="00B7337E" w:rsidRDefault="00B7337E" w:rsidP="00B7337E">
      <w:pPr>
        <w:numPr>
          <w:ilvl w:val="0"/>
          <w:numId w:val="32"/>
        </w:numPr>
        <w:overflowPunct/>
        <w:autoSpaceDE/>
        <w:autoSpaceDN/>
        <w:adjustRightInd/>
        <w:spacing w:after="0"/>
        <w:textAlignment w:val="auto"/>
        <w:rPr>
          <w:rFonts w:eastAsia="Calibri"/>
          <w:color w:val="auto"/>
          <w:sz w:val="22"/>
          <w:szCs w:val="22"/>
          <w:lang w:val="en-US" w:eastAsia="en-US"/>
        </w:rPr>
      </w:pPr>
      <w:r w:rsidRPr="00B7337E">
        <w:rPr>
          <w:rFonts w:eastAsia="Calibri"/>
          <w:color w:val="auto"/>
          <w:sz w:val="22"/>
          <w:szCs w:val="22"/>
          <w:lang w:val="en-US" w:eastAsia="en-US"/>
        </w:rPr>
        <w:t xml:space="preserve">power control parameters to be used for the sounding transmission, </w:t>
      </w:r>
    </w:p>
    <w:p w14:paraId="16E64D43" w14:textId="77777777" w:rsidR="00B7337E" w:rsidRPr="00B7337E" w:rsidRDefault="00B7337E" w:rsidP="00B7337E">
      <w:pPr>
        <w:numPr>
          <w:ilvl w:val="0"/>
          <w:numId w:val="32"/>
        </w:numPr>
        <w:overflowPunct/>
        <w:autoSpaceDE/>
        <w:autoSpaceDN/>
        <w:adjustRightInd/>
        <w:spacing w:after="0"/>
        <w:textAlignment w:val="auto"/>
        <w:rPr>
          <w:rFonts w:eastAsia="Calibri"/>
          <w:color w:val="auto"/>
          <w:sz w:val="22"/>
          <w:szCs w:val="22"/>
          <w:lang w:val="en-US" w:eastAsia="en-US"/>
        </w:rPr>
      </w:pPr>
      <w:r w:rsidRPr="00B7337E">
        <w:rPr>
          <w:rFonts w:eastAsia="Calibri"/>
          <w:color w:val="auto"/>
          <w:sz w:val="22"/>
          <w:szCs w:val="22"/>
          <w:lang w:val="en-US" w:eastAsia="en-US"/>
        </w:rPr>
        <w:t xml:space="preserve">the resource(s) for measurement </w:t>
      </w:r>
    </w:p>
    <w:p w14:paraId="1C2EC0C9" w14:textId="77777777" w:rsidR="00B7337E" w:rsidRPr="00B7337E" w:rsidRDefault="00B7337E" w:rsidP="00B7337E">
      <w:pPr>
        <w:numPr>
          <w:ilvl w:val="0"/>
          <w:numId w:val="32"/>
        </w:numPr>
        <w:overflowPunct/>
        <w:autoSpaceDE/>
        <w:autoSpaceDN/>
        <w:adjustRightInd/>
        <w:spacing w:after="0"/>
        <w:textAlignment w:val="auto"/>
        <w:rPr>
          <w:rFonts w:eastAsia="Calibri"/>
          <w:color w:val="auto"/>
          <w:sz w:val="22"/>
          <w:szCs w:val="22"/>
          <w:lang w:val="en-US" w:eastAsia="en-US"/>
        </w:rPr>
      </w:pPr>
      <w:r w:rsidRPr="00B7337E">
        <w:rPr>
          <w:rFonts w:eastAsia="Calibri"/>
          <w:color w:val="auto"/>
          <w:sz w:val="22"/>
          <w:szCs w:val="22"/>
          <w:lang w:val="en-US" w:eastAsia="en-US"/>
        </w:rPr>
        <w:t xml:space="preserve">the sounding / measurement opportunity pattern </w:t>
      </w:r>
    </w:p>
    <w:p w14:paraId="48A69066" w14:textId="77777777" w:rsidR="00B7337E" w:rsidRPr="00B7337E" w:rsidRDefault="00B7337E" w:rsidP="00B7337E">
      <w:pPr>
        <w:pStyle w:val="Heading2"/>
        <w:numPr>
          <w:ilvl w:val="1"/>
          <w:numId w:val="33"/>
        </w:numPr>
        <w:rPr>
          <w:lang w:eastAsia="en-US"/>
        </w:rPr>
      </w:pPr>
      <w:r w:rsidRPr="00B7337E">
        <w:rPr>
          <w:lang w:eastAsia="en-US"/>
        </w:rPr>
        <w:t>Measurement configuration</w:t>
      </w:r>
    </w:p>
    <w:p w14:paraId="38FE676E" w14:textId="77777777" w:rsidR="00B7337E" w:rsidRPr="00B7337E" w:rsidRDefault="00B7337E" w:rsidP="00B7337E">
      <w:pPr>
        <w:rPr>
          <w:color w:val="auto"/>
          <w:sz w:val="22"/>
          <w:lang w:eastAsia="en-US"/>
        </w:rPr>
      </w:pPr>
      <w:r w:rsidRPr="00B7337E">
        <w:rPr>
          <w:color w:val="auto"/>
          <w:sz w:val="22"/>
          <w:lang w:eastAsia="en-US"/>
        </w:rPr>
        <w:t>When a UE is configured to perform UE-to-UE measurement, it may receive multiple reference signals from UEs in other cells. For each configured measurement resource, the UE need not measure the multiple reference signals on that resource separately. Since the goal is not to identify each UE or cell that contributes to the interference, but only to identify potential severe jamming scenarios, it is sufficient to measure the aggregate interference power received on each measurement resource from all the reference signals on that resource. The assumption is that if there is no dominant interfering UE, then the total interference power will be low, whereas, the presence of a dominant interferer will cause the total interference power to be high.</w:t>
      </w:r>
    </w:p>
    <w:p w14:paraId="12D2C0A7" w14:textId="38BE3B45" w:rsidR="00B7337E" w:rsidRDefault="00B7337E" w:rsidP="00B7337E">
      <w:pPr>
        <w:rPr>
          <w:color w:val="auto"/>
          <w:sz w:val="22"/>
          <w:lang w:eastAsia="en-US"/>
        </w:rPr>
      </w:pPr>
      <w:r w:rsidRPr="00B7337E">
        <w:rPr>
          <w:color w:val="auto"/>
          <w:sz w:val="22"/>
          <w:lang w:eastAsia="en-US"/>
        </w:rPr>
        <w:t>Based on this discussion, the measurement configuration may configure the UE to measure and report the total received power (e.g., RSSI or RSRP) on the configured measurement resources.</w:t>
      </w:r>
    </w:p>
    <w:p w14:paraId="7394D6E2" w14:textId="77777777" w:rsidR="00BD1211" w:rsidRPr="00C55B4C" w:rsidRDefault="00BD1211" w:rsidP="00BD1211">
      <w:pPr>
        <w:rPr>
          <w:b/>
          <w:sz w:val="22"/>
        </w:rPr>
      </w:pPr>
      <w:r w:rsidRPr="00C55B4C">
        <w:rPr>
          <w:b/>
          <w:sz w:val="22"/>
        </w:rPr>
        <w:t xml:space="preserve">Proposal </w:t>
      </w:r>
      <w:r>
        <w:rPr>
          <w:b/>
          <w:sz w:val="22"/>
        </w:rPr>
        <w:t>8</w:t>
      </w:r>
      <w:r w:rsidRPr="00C55B4C">
        <w:rPr>
          <w:b/>
          <w:sz w:val="22"/>
        </w:rPr>
        <w:t xml:space="preserve">: </w:t>
      </w:r>
      <w:r w:rsidRPr="00F970DE">
        <w:rPr>
          <w:sz w:val="22"/>
        </w:rPr>
        <w:t>For long-term UE-to-UE CLI measurement, UEs should be configured to measure and report RSRP on each configured measurement resource.</w:t>
      </w:r>
    </w:p>
    <w:p w14:paraId="4D26F07C" w14:textId="0E03E33E" w:rsidR="00982886" w:rsidRPr="002A7E54" w:rsidRDefault="00791ADC" w:rsidP="00C51770">
      <w:pPr>
        <w:pStyle w:val="Heading1"/>
        <w:numPr>
          <w:ilvl w:val="0"/>
          <w:numId w:val="33"/>
        </w:numPr>
      </w:pPr>
      <w:r>
        <w:t>Conclusion</w:t>
      </w:r>
    </w:p>
    <w:p w14:paraId="4B9E464E" w14:textId="6F092710" w:rsidR="00817403" w:rsidRPr="00C55B4C" w:rsidRDefault="00817403" w:rsidP="00BE55A2">
      <w:pPr>
        <w:rPr>
          <w:b/>
          <w:sz w:val="22"/>
          <w:lang w:eastAsia="ko-KR"/>
        </w:rPr>
      </w:pPr>
      <w:r w:rsidRPr="00C55B4C">
        <w:rPr>
          <w:b/>
          <w:sz w:val="22"/>
          <w:lang w:eastAsia="ko-KR"/>
        </w:rPr>
        <w:t xml:space="preserve">Proposal </w:t>
      </w:r>
      <w:r w:rsidR="00433FF8" w:rsidRPr="00C55B4C">
        <w:rPr>
          <w:b/>
          <w:sz w:val="22"/>
          <w:lang w:eastAsia="ko-KR"/>
        </w:rPr>
        <w:t>1</w:t>
      </w:r>
      <w:r w:rsidRPr="00C55B4C">
        <w:rPr>
          <w:b/>
          <w:sz w:val="22"/>
          <w:lang w:eastAsia="ko-KR"/>
        </w:rPr>
        <w:t xml:space="preserve">: </w:t>
      </w:r>
      <w:r w:rsidR="00AC13D6" w:rsidRPr="009C7DCE">
        <w:rPr>
          <w:sz w:val="22"/>
          <w:lang w:eastAsia="ko-KR"/>
        </w:rPr>
        <w:t>NR uses a common framework, for both long-term and short-term CLI management.</w:t>
      </w:r>
    </w:p>
    <w:p w14:paraId="530F7153" w14:textId="18BEB034" w:rsidR="002E4ED2" w:rsidRPr="00C55B4C" w:rsidRDefault="00AC13D6" w:rsidP="00F11C7C">
      <w:pPr>
        <w:rPr>
          <w:b/>
          <w:sz w:val="22"/>
          <w:lang w:eastAsia="ko-KR"/>
        </w:rPr>
      </w:pPr>
      <w:r w:rsidRPr="00C55B4C">
        <w:rPr>
          <w:b/>
          <w:sz w:val="22"/>
          <w:lang w:eastAsia="ko-KR"/>
        </w:rPr>
        <w:t xml:space="preserve">Proposal 2: </w:t>
      </w:r>
      <w:r w:rsidR="00F11C7C" w:rsidRPr="0060788A">
        <w:rPr>
          <w:sz w:val="22"/>
          <w:lang w:eastAsia="ko-KR"/>
        </w:rPr>
        <w:t>The CLI management framework consists of RRM configuring gaps during which TRP’s/UE’s are instructed to sound or measure cross-link channel using configured RS</w:t>
      </w:r>
    </w:p>
    <w:p w14:paraId="42681E7A" w14:textId="62FFEF85" w:rsidR="00490F2B" w:rsidRPr="00C55B4C" w:rsidRDefault="00490F2B" w:rsidP="00490F2B">
      <w:pPr>
        <w:rPr>
          <w:b/>
          <w:sz w:val="22"/>
          <w:lang w:eastAsia="ko-KR"/>
        </w:rPr>
      </w:pPr>
      <w:r w:rsidRPr="00C55B4C">
        <w:rPr>
          <w:b/>
          <w:sz w:val="22"/>
          <w:lang w:eastAsia="ko-KR"/>
        </w:rPr>
        <w:t>Proposal</w:t>
      </w:r>
      <w:r w:rsidR="007C5493" w:rsidRPr="00C55B4C">
        <w:rPr>
          <w:b/>
          <w:sz w:val="22"/>
          <w:lang w:eastAsia="ko-KR"/>
        </w:rPr>
        <w:t xml:space="preserve"> </w:t>
      </w:r>
      <w:r w:rsidRPr="00C55B4C">
        <w:rPr>
          <w:b/>
          <w:sz w:val="22"/>
          <w:lang w:eastAsia="ko-KR"/>
        </w:rPr>
        <w:t xml:space="preserve">3: </w:t>
      </w:r>
      <w:r w:rsidRPr="0060788A">
        <w:rPr>
          <w:sz w:val="22"/>
          <w:lang w:eastAsia="ko-KR"/>
        </w:rPr>
        <w:t xml:space="preserve">Sounding/measurement gaps preferably extend existing gaps, e.g., PDSCH to PUCCH gap </w:t>
      </w:r>
      <w:r w:rsidR="007C5493" w:rsidRPr="0060788A">
        <w:rPr>
          <w:sz w:val="22"/>
          <w:lang w:eastAsia="ko-KR"/>
        </w:rPr>
        <w:t>in a DL</w:t>
      </w:r>
      <w:r w:rsidRPr="0060788A">
        <w:rPr>
          <w:sz w:val="22"/>
          <w:lang w:eastAsia="ko-KR"/>
        </w:rPr>
        <w:t xml:space="preserve"> slot or PDCCH to PUSCH gap </w:t>
      </w:r>
      <w:r w:rsidR="007C5493" w:rsidRPr="0060788A">
        <w:rPr>
          <w:sz w:val="22"/>
          <w:lang w:eastAsia="ko-KR"/>
        </w:rPr>
        <w:t>in an UL</w:t>
      </w:r>
      <w:r w:rsidRPr="0060788A">
        <w:rPr>
          <w:sz w:val="22"/>
          <w:lang w:eastAsia="ko-KR"/>
        </w:rPr>
        <w:t xml:space="preserve"> slot, however, new sounding/measurement gaps may be configured</w:t>
      </w:r>
    </w:p>
    <w:p w14:paraId="667A8A8A" w14:textId="515D4979" w:rsidR="00F11C7C" w:rsidRPr="0060788A" w:rsidRDefault="00490F2B" w:rsidP="00AB1D3A">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w:t>
      </w:r>
      <w:r w:rsidR="007C5493" w:rsidRPr="0060788A">
        <w:rPr>
          <w:rFonts w:eastAsia="SimSun"/>
          <w:color w:val="000000"/>
          <w:sz w:val="22"/>
          <w:szCs w:val="20"/>
          <w:lang w:val="en-GB" w:eastAsia="ko-KR"/>
        </w:rPr>
        <w:t>measurement gaps could last</w:t>
      </w:r>
      <w:r w:rsidRPr="0060788A">
        <w:rPr>
          <w:rFonts w:eastAsia="SimSun"/>
          <w:color w:val="000000"/>
          <w:sz w:val="22"/>
          <w:szCs w:val="20"/>
          <w:lang w:val="en-GB" w:eastAsia="ko-KR"/>
        </w:rPr>
        <w:t xml:space="preserve"> for one or more </w:t>
      </w:r>
      <w:r w:rsidR="007C5493" w:rsidRPr="0060788A">
        <w:rPr>
          <w:rFonts w:eastAsia="SimSun"/>
          <w:color w:val="000000"/>
          <w:sz w:val="22"/>
          <w:szCs w:val="20"/>
          <w:lang w:val="en-GB" w:eastAsia="ko-KR"/>
        </w:rPr>
        <w:t>OFDM symbol durations to support one or more sounding/measurement opportunities</w:t>
      </w:r>
    </w:p>
    <w:p w14:paraId="289A418F" w14:textId="5228CC20" w:rsidR="007C5493" w:rsidRPr="0060788A" w:rsidRDefault="007C5493" w:rsidP="00AB1D3A">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Sounding/measurement gaps may be configured semi-statically or dynamically</w:t>
      </w:r>
    </w:p>
    <w:p w14:paraId="3C10D81E" w14:textId="196FBAFD" w:rsidR="00765404" w:rsidRDefault="00CA73A2" w:rsidP="00765404">
      <w:pPr>
        <w:pStyle w:val="ListParagraph"/>
        <w:numPr>
          <w:ilvl w:val="0"/>
          <w:numId w:val="35"/>
        </w:numPr>
        <w:rPr>
          <w:rFonts w:eastAsia="SimSun"/>
          <w:color w:val="000000"/>
          <w:sz w:val="22"/>
          <w:szCs w:val="20"/>
          <w:lang w:val="en-GB" w:eastAsia="ko-KR"/>
        </w:rPr>
      </w:pPr>
      <w:r w:rsidRPr="0060788A">
        <w:rPr>
          <w:rFonts w:eastAsia="SimSun"/>
          <w:color w:val="000000"/>
          <w:sz w:val="22"/>
          <w:szCs w:val="20"/>
          <w:lang w:val="en-GB" w:eastAsia="ko-KR"/>
        </w:rPr>
        <w:t>Sounding/measurement gaps may be configured network-wide or pertain to specific set of TRP’s/UE’s</w:t>
      </w:r>
    </w:p>
    <w:p w14:paraId="6E654BB5" w14:textId="77777777" w:rsidR="00A806E6" w:rsidRPr="00A806E6" w:rsidRDefault="00A806E6" w:rsidP="00765404">
      <w:pPr>
        <w:pStyle w:val="ListParagraph"/>
        <w:numPr>
          <w:ilvl w:val="0"/>
          <w:numId w:val="35"/>
        </w:numPr>
        <w:rPr>
          <w:rFonts w:eastAsia="SimSun"/>
          <w:color w:val="000000"/>
          <w:sz w:val="22"/>
          <w:szCs w:val="20"/>
          <w:lang w:val="en-GB" w:eastAsia="ko-KR"/>
        </w:rPr>
      </w:pPr>
    </w:p>
    <w:p w14:paraId="68EAFA91" w14:textId="26D4FB3B" w:rsidR="000D7A48" w:rsidRPr="003605F1" w:rsidRDefault="00765404" w:rsidP="00765404">
      <w:pPr>
        <w:rPr>
          <w:sz w:val="22"/>
          <w:lang w:eastAsia="ko-KR"/>
        </w:rPr>
      </w:pPr>
      <w:r w:rsidRPr="00C55B4C">
        <w:rPr>
          <w:b/>
          <w:sz w:val="22"/>
          <w:lang w:eastAsia="ko-KR"/>
        </w:rPr>
        <w:t>P</w:t>
      </w:r>
      <w:r w:rsidR="00F970DE">
        <w:rPr>
          <w:b/>
          <w:sz w:val="22"/>
          <w:lang w:eastAsia="ko-KR"/>
        </w:rPr>
        <w:t>roposal 4</w:t>
      </w:r>
      <w:r w:rsidRPr="00C55B4C">
        <w:rPr>
          <w:b/>
          <w:sz w:val="22"/>
          <w:lang w:eastAsia="ko-KR"/>
        </w:rPr>
        <w:t xml:space="preserve">: </w:t>
      </w:r>
      <w:r w:rsidR="00DB305E" w:rsidRPr="003605F1">
        <w:rPr>
          <w:sz w:val="22"/>
          <w:lang w:eastAsia="ko-KR"/>
        </w:rPr>
        <w:t>E</w:t>
      </w:r>
      <w:r w:rsidR="000137D9" w:rsidRPr="003605F1">
        <w:rPr>
          <w:sz w:val="22"/>
          <w:lang w:eastAsia="ko-KR"/>
        </w:rPr>
        <w:t xml:space="preserve">xisting RS, e.g., SRS or CSI-RS could be used for sounding. </w:t>
      </w:r>
    </w:p>
    <w:p w14:paraId="3B038EEC" w14:textId="77777777" w:rsidR="00DF7335" w:rsidRPr="003605F1" w:rsidRDefault="00DF7335" w:rsidP="00DF7335">
      <w:pPr>
        <w:pStyle w:val="ListParagraph"/>
        <w:numPr>
          <w:ilvl w:val="0"/>
          <w:numId w:val="31"/>
        </w:numPr>
        <w:rPr>
          <w:sz w:val="22"/>
          <w:lang w:eastAsia="ko-KR"/>
        </w:rPr>
      </w:pPr>
      <w:r w:rsidRPr="003605F1">
        <w:rPr>
          <w:sz w:val="22"/>
          <w:lang w:eastAsia="ko-KR"/>
        </w:rPr>
        <w:t>Performance metrics and reporting details are determined by RS type used and short-term or long-term nature of CLI measurement</w:t>
      </w:r>
    </w:p>
    <w:p w14:paraId="128EC662" w14:textId="77777777" w:rsidR="00DF7335" w:rsidRPr="003605F1" w:rsidRDefault="00DF7335" w:rsidP="00DF7335">
      <w:pPr>
        <w:pStyle w:val="ListParagraph"/>
        <w:numPr>
          <w:ilvl w:val="0"/>
          <w:numId w:val="31"/>
        </w:numPr>
        <w:rPr>
          <w:sz w:val="22"/>
          <w:lang w:eastAsia="ko-KR"/>
        </w:rPr>
      </w:pPr>
      <w:r w:rsidRPr="003605F1">
        <w:rPr>
          <w:sz w:val="22"/>
          <w:lang w:eastAsia="ko-KR"/>
        </w:rPr>
        <w:t>Long-term metrics includes RSSI, RSRP. Short-term measurement includes beam directions, MCS in addition</w:t>
      </w:r>
    </w:p>
    <w:p w14:paraId="358D103E" w14:textId="6E9BA25C" w:rsidR="00765404" w:rsidRPr="003605F1" w:rsidRDefault="00DF7335" w:rsidP="00DF7335">
      <w:pPr>
        <w:pStyle w:val="ListParagraph"/>
        <w:numPr>
          <w:ilvl w:val="0"/>
          <w:numId w:val="31"/>
        </w:numPr>
        <w:rPr>
          <w:sz w:val="22"/>
          <w:lang w:eastAsia="ko-KR"/>
        </w:rPr>
      </w:pPr>
      <w:r w:rsidRPr="003605F1">
        <w:rPr>
          <w:sz w:val="22"/>
          <w:lang w:eastAsia="ko-KR"/>
        </w:rPr>
        <w:t>RRM configures the frequency position, port number, scrambling code, bandwidth of sounding RS (semi-statically or dynamically) based on the particular CLI management scheme</w:t>
      </w:r>
      <w:r w:rsidR="000D7A48" w:rsidRPr="003605F1">
        <w:rPr>
          <w:sz w:val="22"/>
          <w:lang w:eastAsia="ko-KR"/>
        </w:rPr>
        <w:t xml:space="preserve"> </w:t>
      </w:r>
    </w:p>
    <w:p w14:paraId="7AC13F59" w14:textId="77777777" w:rsidR="0006262E" w:rsidRDefault="0006262E" w:rsidP="00100A37">
      <w:pPr>
        <w:rPr>
          <w:b/>
          <w:sz w:val="22"/>
          <w:lang w:val="en-US" w:eastAsia="ko-KR"/>
        </w:rPr>
      </w:pPr>
    </w:p>
    <w:p w14:paraId="57C207F8" w14:textId="129C9867" w:rsidR="00100A37" w:rsidRPr="00C55B4C" w:rsidRDefault="00100A37" w:rsidP="00100A37">
      <w:pPr>
        <w:rPr>
          <w:b/>
          <w:color w:val="auto"/>
          <w:sz w:val="22"/>
          <w:lang w:eastAsia="en-US"/>
        </w:rPr>
      </w:pPr>
      <w:r w:rsidRPr="00C55B4C">
        <w:rPr>
          <w:b/>
          <w:color w:val="auto"/>
          <w:sz w:val="22"/>
          <w:lang w:eastAsia="en-US"/>
        </w:rPr>
        <w:t xml:space="preserve">Proposal </w:t>
      </w:r>
      <w:r w:rsidR="00F970DE">
        <w:rPr>
          <w:b/>
          <w:color w:val="auto"/>
          <w:sz w:val="22"/>
          <w:lang w:eastAsia="en-US"/>
        </w:rPr>
        <w:t>5</w:t>
      </w:r>
      <w:r w:rsidRPr="00C55B4C">
        <w:rPr>
          <w:b/>
          <w:color w:val="auto"/>
          <w:sz w:val="22"/>
          <w:lang w:eastAsia="en-US"/>
        </w:rPr>
        <w:t xml:space="preserve">: </w:t>
      </w:r>
      <w:r w:rsidRPr="0026679A">
        <w:rPr>
          <w:color w:val="auto"/>
          <w:sz w:val="22"/>
          <w:lang w:eastAsia="en-US"/>
        </w:rPr>
        <w:t>As a starting point, long-term cross-link interference measurement should not require a measuring UE to identify the sounding UE or its cell based on the reference signal used for CLI measurement.</w:t>
      </w:r>
    </w:p>
    <w:p w14:paraId="3585FFB3" w14:textId="5570E6D1" w:rsidR="00100A37" w:rsidRPr="00C55B4C" w:rsidRDefault="00100A37" w:rsidP="00100A37">
      <w:pPr>
        <w:rPr>
          <w:b/>
          <w:color w:val="auto"/>
          <w:sz w:val="22"/>
          <w:lang w:eastAsia="en-US"/>
        </w:rPr>
      </w:pPr>
      <w:r w:rsidRPr="00C55B4C">
        <w:rPr>
          <w:b/>
          <w:color w:val="auto"/>
          <w:sz w:val="22"/>
          <w:lang w:eastAsia="en-US"/>
        </w:rPr>
        <w:t xml:space="preserve">Proposal </w:t>
      </w:r>
      <w:r w:rsidR="00F970DE">
        <w:rPr>
          <w:b/>
          <w:color w:val="auto"/>
          <w:sz w:val="22"/>
          <w:lang w:eastAsia="en-US"/>
        </w:rPr>
        <w:t>6</w:t>
      </w:r>
      <w:r w:rsidRPr="00C55B4C">
        <w:rPr>
          <w:b/>
          <w:color w:val="auto"/>
          <w:sz w:val="22"/>
          <w:lang w:eastAsia="en-US"/>
        </w:rPr>
        <w:t xml:space="preserve">: </w:t>
      </w:r>
      <w:r w:rsidRPr="00F970DE">
        <w:rPr>
          <w:color w:val="auto"/>
          <w:sz w:val="22"/>
          <w:lang w:eastAsia="en-US"/>
        </w:rPr>
        <w:t>For long-term UE-to-UE CLI measurement, UEs in the same cell can share the same sounding resource to transmit the reference signal.</w:t>
      </w:r>
    </w:p>
    <w:p w14:paraId="10A45CD7" w14:textId="68A10242" w:rsidR="00100A37" w:rsidRPr="00C55B4C" w:rsidRDefault="00100A37" w:rsidP="009C4DCD">
      <w:pPr>
        <w:rPr>
          <w:b/>
          <w:color w:val="auto"/>
          <w:sz w:val="22"/>
          <w:lang w:eastAsia="en-US"/>
        </w:rPr>
      </w:pPr>
      <w:r w:rsidRPr="00C55B4C">
        <w:rPr>
          <w:b/>
          <w:color w:val="auto"/>
          <w:sz w:val="22"/>
          <w:lang w:eastAsia="en-US"/>
        </w:rPr>
        <w:t xml:space="preserve">Proposal </w:t>
      </w:r>
      <w:r w:rsidR="00F970DE">
        <w:rPr>
          <w:b/>
          <w:color w:val="auto"/>
          <w:sz w:val="22"/>
          <w:lang w:eastAsia="en-US"/>
        </w:rPr>
        <w:t>7</w:t>
      </w:r>
      <w:r w:rsidRPr="00C55B4C">
        <w:rPr>
          <w:b/>
          <w:color w:val="auto"/>
          <w:sz w:val="22"/>
          <w:lang w:eastAsia="en-US"/>
        </w:rPr>
        <w:t xml:space="preserve">: </w:t>
      </w:r>
      <w:r w:rsidRPr="00F970DE">
        <w:rPr>
          <w:color w:val="auto"/>
          <w:sz w:val="22"/>
          <w:lang w:eastAsia="en-US"/>
        </w:rPr>
        <w:t xml:space="preserve">Configuration of </w:t>
      </w:r>
      <w:r w:rsidR="00D2454B" w:rsidRPr="00F970DE">
        <w:rPr>
          <w:color w:val="auto"/>
          <w:sz w:val="22"/>
          <w:lang w:eastAsia="en-US"/>
        </w:rPr>
        <w:t xml:space="preserve">long-term </w:t>
      </w:r>
      <w:r w:rsidRPr="00F970DE">
        <w:rPr>
          <w:color w:val="auto"/>
          <w:sz w:val="22"/>
          <w:lang w:eastAsia="en-US"/>
        </w:rPr>
        <w:t>UE-to-UE sounding and measurement procedure may be performed in a cell-specific manner to all UEs within a cell, using a multicast or broadcast signalling message using group-common PDCCH or RRC or system information.</w:t>
      </w:r>
    </w:p>
    <w:p w14:paraId="15485C18" w14:textId="35F9CF1D" w:rsidR="00970D9A" w:rsidRPr="00C55B4C" w:rsidRDefault="00970D9A" w:rsidP="009C4DCD">
      <w:pPr>
        <w:rPr>
          <w:b/>
          <w:sz w:val="22"/>
        </w:rPr>
      </w:pPr>
      <w:r w:rsidRPr="00C55B4C">
        <w:rPr>
          <w:b/>
          <w:sz w:val="22"/>
        </w:rPr>
        <w:t xml:space="preserve">Proposal </w:t>
      </w:r>
      <w:r w:rsidR="00F970DE">
        <w:rPr>
          <w:b/>
          <w:sz w:val="22"/>
        </w:rPr>
        <w:t>8</w:t>
      </w:r>
      <w:r w:rsidRPr="00C55B4C">
        <w:rPr>
          <w:b/>
          <w:sz w:val="22"/>
        </w:rPr>
        <w:t xml:space="preserve">: </w:t>
      </w:r>
      <w:r w:rsidRPr="00F970DE">
        <w:rPr>
          <w:sz w:val="22"/>
        </w:rPr>
        <w:t>For long-term UE-to-UE CLI measurement, UEs should be configured to measure and report RSRP on each configured measurement resource.</w:t>
      </w:r>
    </w:p>
    <w:p w14:paraId="7F3BF195" w14:textId="4929549C" w:rsidR="00145B84" w:rsidRDefault="00535FF6" w:rsidP="00145B84">
      <w:pPr>
        <w:pStyle w:val="Heading1"/>
      </w:pPr>
      <w:r>
        <w:t>5</w:t>
      </w:r>
      <w:r w:rsidR="00145B84">
        <w:t xml:space="preserve">. </w:t>
      </w:r>
      <w:r w:rsidR="00145B84">
        <w:tab/>
        <w:t>Reference</w:t>
      </w:r>
    </w:p>
    <w:p w14:paraId="7F3BF199" w14:textId="0621014A" w:rsidR="00397FBF" w:rsidRPr="009C4DCD" w:rsidRDefault="00114CC9" w:rsidP="00625C17">
      <w:pPr>
        <w:numPr>
          <w:ilvl w:val="0"/>
          <w:numId w:val="3"/>
        </w:numPr>
        <w:rPr>
          <w:sz w:val="22"/>
        </w:rPr>
      </w:pPr>
      <w:bookmarkStart w:id="3" w:name="_Ref446333722"/>
      <w:bookmarkStart w:id="4" w:name="_Ref458067121"/>
      <w:bookmarkStart w:id="5" w:name="_Ref458773979"/>
      <w:r>
        <w:rPr>
          <w:sz w:val="22"/>
        </w:rPr>
        <w:t>3GPP RAN1 #89</w:t>
      </w:r>
      <w:r w:rsidR="0029100A" w:rsidRPr="00F7727F">
        <w:rPr>
          <w:sz w:val="22"/>
        </w:rPr>
        <w:t xml:space="preserve"> Chairman notes</w:t>
      </w:r>
      <w:bookmarkEnd w:id="3"/>
      <w:bookmarkEnd w:id="4"/>
      <w:bookmarkEnd w:id="5"/>
    </w:p>
    <w:p w14:paraId="17BE6964" w14:textId="7963DA7E" w:rsidR="001A6197" w:rsidRPr="00CD6218" w:rsidRDefault="009C4DCD" w:rsidP="00DA7401">
      <w:pPr>
        <w:numPr>
          <w:ilvl w:val="0"/>
          <w:numId w:val="3"/>
        </w:numPr>
        <w:rPr>
          <w:sz w:val="22"/>
        </w:rPr>
      </w:pPr>
      <w:r>
        <w:rPr>
          <w:sz w:val="22"/>
        </w:rPr>
        <w:t>R1</w:t>
      </w:r>
      <w:r w:rsidRPr="0038630B">
        <w:rPr>
          <w:sz w:val="22"/>
        </w:rPr>
        <w:t>-1711226</w:t>
      </w:r>
      <w:r w:rsidR="001A6197">
        <w:rPr>
          <w:sz w:val="22"/>
        </w:rPr>
        <w:t>,</w:t>
      </w:r>
      <w:r>
        <w:rPr>
          <w:sz w:val="22"/>
        </w:rPr>
        <w:t xml:space="preserve"> </w:t>
      </w:r>
      <w:r w:rsidR="001A6197">
        <w:rPr>
          <w:sz w:val="22"/>
        </w:rPr>
        <w:t>“</w:t>
      </w:r>
      <w:r w:rsidRPr="00B75CD3">
        <w:rPr>
          <w:sz w:val="22"/>
        </w:rPr>
        <w:t>Dynamic TDD Cross-link interference management consideration</w:t>
      </w:r>
      <w:r w:rsidR="001A6197">
        <w:rPr>
          <w:sz w:val="22"/>
        </w:rPr>
        <w:t>”, Qualcomm Incorporated</w:t>
      </w:r>
      <w:r w:rsidR="006C47BB" w:rsidRPr="00A3674E">
        <w:rPr>
          <w:sz w:val="22"/>
        </w:rPr>
        <w:t xml:space="preserve">, 3GPP TSG RAN WG1 </w:t>
      </w:r>
      <w:r w:rsidR="00BE3E0F">
        <w:rPr>
          <w:sz w:val="22"/>
        </w:rPr>
        <w:t>NR#2</w:t>
      </w:r>
      <w:r w:rsidR="006C47BB" w:rsidRPr="00A3674E">
        <w:rPr>
          <w:sz w:val="22"/>
        </w:rPr>
        <w:t xml:space="preserve">, </w:t>
      </w:r>
      <w:r w:rsidR="00BB7875">
        <w:rPr>
          <w:sz w:val="22"/>
        </w:rPr>
        <w:t>June</w:t>
      </w:r>
      <w:r w:rsidR="006C47BB" w:rsidRPr="00A3674E">
        <w:rPr>
          <w:sz w:val="22"/>
        </w:rPr>
        <w:t xml:space="preserve"> 2017.</w:t>
      </w:r>
    </w:p>
    <w:p w14:paraId="416A27E4" w14:textId="0908D1C9" w:rsidR="009C4DCD" w:rsidRPr="00A3674E" w:rsidRDefault="00A3674E" w:rsidP="00DA7401">
      <w:pPr>
        <w:numPr>
          <w:ilvl w:val="0"/>
          <w:numId w:val="3"/>
        </w:numPr>
        <w:rPr>
          <w:sz w:val="22"/>
        </w:rPr>
      </w:pPr>
      <w:bookmarkStart w:id="6" w:name="_Ref485375705"/>
      <w:r w:rsidRPr="00A3674E">
        <w:rPr>
          <w:sz w:val="22"/>
        </w:rPr>
        <w:t>R1-1708651, “Dynamic TDD UE-to-UE measurement considerations”, Qualcomm Incorporated, 3GPP TSG RAN WG1 #89, May 2017.</w:t>
      </w:r>
      <w:bookmarkEnd w:id="6"/>
    </w:p>
    <w:sectPr w:rsidR="009C4DCD" w:rsidRPr="00A3674E" w:rsidSect="00335666">
      <w:headerReference w:type="even" r:id="rId14"/>
      <w:footerReference w:type="default" r:id="rId15"/>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FB818" w14:textId="77777777" w:rsidR="000243E9" w:rsidRDefault="000243E9">
      <w:r>
        <w:separator/>
      </w:r>
    </w:p>
    <w:p w14:paraId="14B6617D" w14:textId="77777777" w:rsidR="000243E9" w:rsidRDefault="000243E9"/>
  </w:endnote>
  <w:endnote w:type="continuationSeparator" w:id="0">
    <w:p w14:paraId="69DF1C90" w14:textId="77777777" w:rsidR="000243E9" w:rsidRDefault="000243E9">
      <w:r>
        <w:continuationSeparator/>
      </w:r>
    </w:p>
    <w:p w14:paraId="2F57B055" w14:textId="77777777" w:rsidR="000243E9" w:rsidRDefault="000243E9"/>
  </w:endnote>
  <w:endnote w:type="continuationNotice" w:id="1">
    <w:p w14:paraId="75EED021" w14:textId="77777777" w:rsidR="000243E9" w:rsidRDefault="00024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B" w14:textId="03FA0B7B" w:rsidR="001B6229" w:rsidRDefault="001B6229">
    <w:pPr>
      <w:pStyle w:val="Footer"/>
      <w:jc w:val="center"/>
    </w:pPr>
    <w:r>
      <w:fldChar w:fldCharType="begin"/>
    </w:r>
    <w:r>
      <w:instrText xml:space="preserve"> PAGE   \* MERGEFORMAT </w:instrText>
    </w:r>
    <w:r>
      <w:fldChar w:fldCharType="separate"/>
    </w:r>
    <w:r w:rsidR="0020298E">
      <w:rPr>
        <w:noProof/>
      </w:rPr>
      <w:t>1</w:t>
    </w:r>
    <w:r>
      <w:rPr>
        <w:noProof/>
      </w:rPr>
      <w:fldChar w:fldCharType="end"/>
    </w:r>
  </w:p>
  <w:p w14:paraId="7F3BF1AC" w14:textId="77777777" w:rsidR="001B6229" w:rsidRDefault="001B6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2D2DC" w14:textId="77777777" w:rsidR="000243E9" w:rsidRDefault="000243E9">
      <w:r>
        <w:separator/>
      </w:r>
    </w:p>
    <w:p w14:paraId="6EA00D99" w14:textId="77777777" w:rsidR="000243E9" w:rsidRDefault="000243E9"/>
  </w:footnote>
  <w:footnote w:type="continuationSeparator" w:id="0">
    <w:p w14:paraId="018A22B9" w14:textId="77777777" w:rsidR="000243E9" w:rsidRDefault="000243E9">
      <w:r>
        <w:continuationSeparator/>
      </w:r>
    </w:p>
    <w:p w14:paraId="2B62C7F5" w14:textId="77777777" w:rsidR="000243E9" w:rsidRDefault="000243E9"/>
  </w:footnote>
  <w:footnote w:type="continuationNotice" w:id="1">
    <w:p w14:paraId="4D4FD2EB" w14:textId="77777777" w:rsidR="000243E9" w:rsidRDefault="00024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9" w14:textId="77777777" w:rsidR="001B6229" w:rsidRDefault="001B6229"/>
  <w:p w14:paraId="7F3BF1AA" w14:textId="77777777" w:rsidR="001B6229" w:rsidRDefault="001B62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6288E"/>
    <w:multiLevelType w:val="hybridMultilevel"/>
    <w:tmpl w:val="2A380FD2"/>
    <w:lvl w:ilvl="0" w:tplc="0BD092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4900A5C"/>
    <w:multiLevelType w:val="hybridMultilevel"/>
    <w:tmpl w:val="767E2B6A"/>
    <w:lvl w:ilvl="0" w:tplc="7018E9A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F28CD"/>
    <w:multiLevelType w:val="hybridMultilevel"/>
    <w:tmpl w:val="EA624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002560"/>
    <w:multiLevelType w:val="hybridMultilevel"/>
    <w:tmpl w:val="31F4B12C"/>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C1DB8"/>
    <w:multiLevelType w:val="hybridMultilevel"/>
    <w:tmpl w:val="81E22E28"/>
    <w:lvl w:ilvl="0" w:tplc="04090001">
      <w:start w:val="1"/>
      <w:numFmt w:val="bullet"/>
      <w:lvlText w:val=""/>
      <w:lvlJc w:val="left"/>
      <w:pPr>
        <w:ind w:left="-7702" w:hanging="360"/>
      </w:pPr>
      <w:rPr>
        <w:rFonts w:ascii="Symbol" w:hAnsi="Symbol" w:hint="default"/>
      </w:rPr>
    </w:lvl>
    <w:lvl w:ilvl="1" w:tplc="04090003">
      <w:start w:val="1"/>
      <w:numFmt w:val="bullet"/>
      <w:lvlText w:val="o"/>
      <w:lvlJc w:val="left"/>
      <w:pPr>
        <w:ind w:left="-6982" w:hanging="360"/>
      </w:pPr>
      <w:rPr>
        <w:rFonts w:ascii="Courier New" w:hAnsi="Courier New" w:cs="Courier New" w:hint="default"/>
      </w:rPr>
    </w:lvl>
    <w:lvl w:ilvl="2" w:tplc="04090005">
      <w:start w:val="1"/>
      <w:numFmt w:val="bullet"/>
      <w:lvlText w:val=""/>
      <w:lvlJc w:val="left"/>
      <w:pPr>
        <w:ind w:left="-6262" w:hanging="360"/>
      </w:pPr>
      <w:rPr>
        <w:rFonts w:ascii="Wingdings" w:hAnsi="Wingdings" w:hint="default"/>
      </w:rPr>
    </w:lvl>
    <w:lvl w:ilvl="3" w:tplc="04090001">
      <w:start w:val="1"/>
      <w:numFmt w:val="bullet"/>
      <w:lvlText w:val=""/>
      <w:lvlJc w:val="left"/>
      <w:pPr>
        <w:ind w:left="-5542" w:hanging="360"/>
      </w:pPr>
      <w:rPr>
        <w:rFonts w:ascii="Symbol" w:hAnsi="Symbol" w:hint="default"/>
      </w:rPr>
    </w:lvl>
    <w:lvl w:ilvl="4" w:tplc="04090003">
      <w:start w:val="1"/>
      <w:numFmt w:val="bullet"/>
      <w:lvlText w:val="o"/>
      <w:lvlJc w:val="left"/>
      <w:pPr>
        <w:ind w:left="-482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3382" w:hanging="360"/>
      </w:pPr>
      <w:rPr>
        <w:rFonts w:ascii="Symbol" w:hAnsi="Symbol" w:hint="default"/>
      </w:rPr>
    </w:lvl>
    <w:lvl w:ilvl="7" w:tplc="04090003">
      <w:start w:val="1"/>
      <w:numFmt w:val="bullet"/>
      <w:lvlText w:val="o"/>
      <w:lvlJc w:val="left"/>
      <w:pPr>
        <w:ind w:left="-2662" w:hanging="360"/>
      </w:pPr>
      <w:rPr>
        <w:rFonts w:ascii="Courier New" w:hAnsi="Courier New" w:cs="Courier New" w:hint="default"/>
      </w:rPr>
    </w:lvl>
    <w:lvl w:ilvl="8" w:tplc="04090005">
      <w:start w:val="1"/>
      <w:numFmt w:val="bullet"/>
      <w:lvlText w:val=""/>
      <w:lvlJc w:val="left"/>
      <w:pPr>
        <w:ind w:left="-1942" w:hanging="360"/>
      </w:pPr>
      <w:rPr>
        <w:rFonts w:ascii="Wingdings" w:hAnsi="Wingdings" w:hint="default"/>
      </w:rPr>
    </w:lvl>
  </w:abstractNum>
  <w:abstractNum w:abstractNumId="13" w15:restartNumberingAfterBreak="0">
    <w:nsid w:val="2EF47E25"/>
    <w:multiLevelType w:val="hybridMultilevel"/>
    <w:tmpl w:val="EA624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E5B1C"/>
    <w:multiLevelType w:val="hybridMultilevel"/>
    <w:tmpl w:val="9F3E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A941C6"/>
    <w:multiLevelType w:val="hybridMultilevel"/>
    <w:tmpl w:val="31F4B12C"/>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0"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71CFB"/>
    <w:multiLevelType w:val="hybridMultilevel"/>
    <w:tmpl w:val="EEA02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A4031"/>
    <w:multiLevelType w:val="hybridMultilevel"/>
    <w:tmpl w:val="9F3E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D31D8E"/>
    <w:multiLevelType w:val="hybridMultilevel"/>
    <w:tmpl w:val="303E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76A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060353"/>
    <w:multiLevelType w:val="hybridMultilevel"/>
    <w:tmpl w:val="4F56F40E"/>
    <w:lvl w:ilvl="0" w:tplc="0409000F">
      <w:start w:val="1"/>
      <w:numFmt w:val="decimal"/>
      <w:lvlText w:val="%1."/>
      <w:lvlJc w:val="left"/>
      <w:pPr>
        <w:ind w:left="235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28"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65431F"/>
    <w:multiLevelType w:val="hybridMultilevel"/>
    <w:tmpl w:val="79449710"/>
    <w:lvl w:ilvl="0" w:tplc="4ACCE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32"/>
  </w:num>
  <w:num w:numId="2">
    <w:abstractNumId w:val="17"/>
  </w:num>
  <w:num w:numId="3">
    <w:abstractNumId w:val="9"/>
  </w:num>
  <w:num w:numId="4">
    <w:abstractNumId w:val="20"/>
  </w:num>
  <w:num w:numId="5">
    <w:abstractNumId w:val="33"/>
  </w:num>
  <w:num w:numId="6">
    <w:abstractNumId w:val="11"/>
  </w:num>
  <w:num w:numId="7">
    <w:abstractNumId w:val="26"/>
  </w:num>
  <w:num w:numId="8">
    <w:abstractNumId w:val="3"/>
  </w:num>
  <w:num w:numId="9">
    <w:abstractNumId w:val="30"/>
  </w:num>
  <w:num w:numId="10">
    <w:abstractNumId w:val="25"/>
  </w:num>
  <w:num w:numId="11">
    <w:abstractNumId w:val="8"/>
  </w:num>
  <w:num w:numId="12">
    <w:abstractNumId w:val="34"/>
  </w:num>
  <w:num w:numId="13">
    <w:abstractNumId w:val="28"/>
  </w:num>
  <w:num w:numId="14">
    <w:abstractNumId w:val="1"/>
  </w:num>
  <w:num w:numId="15">
    <w:abstractNumId w:val="0"/>
  </w:num>
  <w:num w:numId="16">
    <w:abstractNumId w:val="16"/>
  </w:num>
  <w:num w:numId="17">
    <w:abstractNumId w:val="7"/>
  </w:num>
  <w:num w:numId="18">
    <w:abstractNumId w:val="15"/>
  </w:num>
  <w:num w:numId="19">
    <w:abstractNumId w:val="4"/>
  </w:num>
  <w:num w:numId="20">
    <w:abstractNumId w:val="31"/>
  </w:num>
  <w:num w:numId="21">
    <w:abstractNumId w:val="18"/>
  </w:num>
  <w:num w:numId="22">
    <w:abstractNumId w:val="6"/>
  </w:num>
  <w:num w:numId="23">
    <w:abstractNumId w:val="13"/>
  </w:num>
  <w:num w:numId="24">
    <w:abstractNumId w:val="2"/>
  </w:num>
  <w:num w:numId="25">
    <w:abstractNumId w:val="12"/>
  </w:num>
  <w:num w:numId="26">
    <w:abstractNumId w:val="27"/>
  </w:num>
  <w:num w:numId="27">
    <w:abstractNumId w:val="21"/>
  </w:num>
  <w:num w:numId="28">
    <w:abstractNumId w:val="19"/>
  </w:num>
  <w:num w:numId="29">
    <w:abstractNumId w:val="23"/>
  </w:num>
  <w:num w:numId="30">
    <w:abstractNumId w:val="22"/>
  </w:num>
  <w:num w:numId="31">
    <w:abstractNumId w:val="14"/>
  </w:num>
  <w:num w:numId="32">
    <w:abstractNumId w:val="29"/>
  </w:num>
  <w:num w:numId="33">
    <w:abstractNumId w:val="24"/>
  </w:num>
  <w:num w:numId="34">
    <w:abstractNumId w:val="5"/>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07F"/>
    <w:rsid w:val="00004D0E"/>
    <w:rsid w:val="00004E1D"/>
    <w:rsid w:val="000051BA"/>
    <w:rsid w:val="000067B3"/>
    <w:rsid w:val="00006A07"/>
    <w:rsid w:val="00006B6D"/>
    <w:rsid w:val="00007268"/>
    <w:rsid w:val="00007CCB"/>
    <w:rsid w:val="00010C4F"/>
    <w:rsid w:val="00010E7A"/>
    <w:rsid w:val="00011393"/>
    <w:rsid w:val="000116AE"/>
    <w:rsid w:val="00011B8E"/>
    <w:rsid w:val="000124FC"/>
    <w:rsid w:val="00012946"/>
    <w:rsid w:val="000130E4"/>
    <w:rsid w:val="000135F1"/>
    <w:rsid w:val="000137D9"/>
    <w:rsid w:val="00013B74"/>
    <w:rsid w:val="00014A45"/>
    <w:rsid w:val="00015914"/>
    <w:rsid w:val="000161F8"/>
    <w:rsid w:val="00016253"/>
    <w:rsid w:val="000170C0"/>
    <w:rsid w:val="00020409"/>
    <w:rsid w:val="00020F49"/>
    <w:rsid w:val="0002179A"/>
    <w:rsid w:val="00021964"/>
    <w:rsid w:val="00022F95"/>
    <w:rsid w:val="000243E9"/>
    <w:rsid w:val="00024BA4"/>
    <w:rsid w:val="00025348"/>
    <w:rsid w:val="00025401"/>
    <w:rsid w:val="00025578"/>
    <w:rsid w:val="00025F8D"/>
    <w:rsid w:val="00026B24"/>
    <w:rsid w:val="00026C9D"/>
    <w:rsid w:val="00026E42"/>
    <w:rsid w:val="00030971"/>
    <w:rsid w:val="00030BCA"/>
    <w:rsid w:val="00031FF3"/>
    <w:rsid w:val="00033B29"/>
    <w:rsid w:val="00034B70"/>
    <w:rsid w:val="00034E86"/>
    <w:rsid w:val="00035023"/>
    <w:rsid w:val="000371E4"/>
    <w:rsid w:val="00040179"/>
    <w:rsid w:val="00040DDB"/>
    <w:rsid w:val="00041AA3"/>
    <w:rsid w:val="00042221"/>
    <w:rsid w:val="0004325B"/>
    <w:rsid w:val="00043D8C"/>
    <w:rsid w:val="00043F13"/>
    <w:rsid w:val="0005092A"/>
    <w:rsid w:val="00051D31"/>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2E"/>
    <w:rsid w:val="00062658"/>
    <w:rsid w:val="00062DA4"/>
    <w:rsid w:val="00063C16"/>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6C8E"/>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0EC"/>
    <w:rsid w:val="000B21CB"/>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5816"/>
    <w:rsid w:val="000D6A8B"/>
    <w:rsid w:val="000D76E1"/>
    <w:rsid w:val="000D7A48"/>
    <w:rsid w:val="000E07E8"/>
    <w:rsid w:val="000E0B1A"/>
    <w:rsid w:val="000E1FFA"/>
    <w:rsid w:val="000E2AD6"/>
    <w:rsid w:val="000E2E86"/>
    <w:rsid w:val="000E422A"/>
    <w:rsid w:val="000E50D6"/>
    <w:rsid w:val="000E656C"/>
    <w:rsid w:val="000E66CC"/>
    <w:rsid w:val="000E6826"/>
    <w:rsid w:val="000F064E"/>
    <w:rsid w:val="000F0B82"/>
    <w:rsid w:val="000F2A6F"/>
    <w:rsid w:val="000F55DB"/>
    <w:rsid w:val="001005E1"/>
    <w:rsid w:val="00100857"/>
    <w:rsid w:val="00100A3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3483"/>
    <w:rsid w:val="00114CC9"/>
    <w:rsid w:val="00114CCF"/>
    <w:rsid w:val="00116E33"/>
    <w:rsid w:val="00116EE8"/>
    <w:rsid w:val="0011720F"/>
    <w:rsid w:val="00120217"/>
    <w:rsid w:val="0012106F"/>
    <w:rsid w:val="00121144"/>
    <w:rsid w:val="001218BE"/>
    <w:rsid w:val="00122A39"/>
    <w:rsid w:val="001230E4"/>
    <w:rsid w:val="0012339B"/>
    <w:rsid w:val="00123C76"/>
    <w:rsid w:val="00124ED7"/>
    <w:rsid w:val="001253B8"/>
    <w:rsid w:val="00126C69"/>
    <w:rsid w:val="00126C8B"/>
    <w:rsid w:val="00127002"/>
    <w:rsid w:val="001275C0"/>
    <w:rsid w:val="0012788B"/>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3406"/>
    <w:rsid w:val="0015504C"/>
    <w:rsid w:val="00155C76"/>
    <w:rsid w:val="00155D5A"/>
    <w:rsid w:val="001570F6"/>
    <w:rsid w:val="00157A7E"/>
    <w:rsid w:val="0016142D"/>
    <w:rsid w:val="001614D9"/>
    <w:rsid w:val="00161B71"/>
    <w:rsid w:val="0016299D"/>
    <w:rsid w:val="00163F31"/>
    <w:rsid w:val="00164865"/>
    <w:rsid w:val="00165C54"/>
    <w:rsid w:val="00166A3B"/>
    <w:rsid w:val="00166D36"/>
    <w:rsid w:val="00167F33"/>
    <w:rsid w:val="001711F7"/>
    <w:rsid w:val="00171D38"/>
    <w:rsid w:val="00172BFE"/>
    <w:rsid w:val="001731A7"/>
    <w:rsid w:val="001742E1"/>
    <w:rsid w:val="00174ACE"/>
    <w:rsid w:val="0017741E"/>
    <w:rsid w:val="001805B3"/>
    <w:rsid w:val="00182378"/>
    <w:rsid w:val="00183776"/>
    <w:rsid w:val="00183CE6"/>
    <w:rsid w:val="00183D6D"/>
    <w:rsid w:val="00183F97"/>
    <w:rsid w:val="001851EC"/>
    <w:rsid w:val="00185461"/>
    <w:rsid w:val="00185774"/>
    <w:rsid w:val="001866A4"/>
    <w:rsid w:val="00186C20"/>
    <w:rsid w:val="00186D31"/>
    <w:rsid w:val="00187C61"/>
    <w:rsid w:val="00190B14"/>
    <w:rsid w:val="00190E77"/>
    <w:rsid w:val="001915BF"/>
    <w:rsid w:val="0019261C"/>
    <w:rsid w:val="00196103"/>
    <w:rsid w:val="00196748"/>
    <w:rsid w:val="00197278"/>
    <w:rsid w:val="001A0109"/>
    <w:rsid w:val="001A25C1"/>
    <w:rsid w:val="001A28B1"/>
    <w:rsid w:val="001A6197"/>
    <w:rsid w:val="001A6496"/>
    <w:rsid w:val="001A7A12"/>
    <w:rsid w:val="001A7DEB"/>
    <w:rsid w:val="001B08A8"/>
    <w:rsid w:val="001B0EFF"/>
    <w:rsid w:val="001B4086"/>
    <w:rsid w:val="001B518E"/>
    <w:rsid w:val="001B5D50"/>
    <w:rsid w:val="001B6229"/>
    <w:rsid w:val="001B626C"/>
    <w:rsid w:val="001B74E3"/>
    <w:rsid w:val="001B7D92"/>
    <w:rsid w:val="001C0FAE"/>
    <w:rsid w:val="001C1294"/>
    <w:rsid w:val="001C200C"/>
    <w:rsid w:val="001C22A2"/>
    <w:rsid w:val="001C2B99"/>
    <w:rsid w:val="001C34C0"/>
    <w:rsid w:val="001C4590"/>
    <w:rsid w:val="001C469F"/>
    <w:rsid w:val="001C4AB8"/>
    <w:rsid w:val="001C5469"/>
    <w:rsid w:val="001C66C5"/>
    <w:rsid w:val="001C7C16"/>
    <w:rsid w:val="001D26FC"/>
    <w:rsid w:val="001D3990"/>
    <w:rsid w:val="001D5FE1"/>
    <w:rsid w:val="001D6945"/>
    <w:rsid w:val="001D6F33"/>
    <w:rsid w:val="001D78EC"/>
    <w:rsid w:val="001E2A89"/>
    <w:rsid w:val="001E2DD7"/>
    <w:rsid w:val="001E30AD"/>
    <w:rsid w:val="001E349F"/>
    <w:rsid w:val="001E3F60"/>
    <w:rsid w:val="001E427F"/>
    <w:rsid w:val="001E50C6"/>
    <w:rsid w:val="001E55EE"/>
    <w:rsid w:val="001E6A39"/>
    <w:rsid w:val="001E6DE2"/>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298E"/>
    <w:rsid w:val="00204F4B"/>
    <w:rsid w:val="00205789"/>
    <w:rsid w:val="00205A99"/>
    <w:rsid w:val="00205EED"/>
    <w:rsid w:val="002066F3"/>
    <w:rsid w:val="00206754"/>
    <w:rsid w:val="00207E3C"/>
    <w:rsid w:val="002100CB"/>
    <w:rsid w:val="002105C5"/>
    <w:rsid w:val="002110E4"/>
    <w:rsid w:val="0021216A"/>
    <w:rsid w:val="002128F8"/>
    <w:rsid w:val="00212FEC"/>
    <w:rsid w:val="002130E7"/>
    <w:rsid w:val="00213746"/>
    <w:rsid w:val="002139DC"/>
    <w:rsid w:val="00213F00"/>
    <w:rsid w:val="00214937"/>
    <w:rsid w:val="00214B7E"/>
    <w:rsid w:val="00215635"/>
    <w:rsid w:val="0021566F"/>
    <w:rsid w:val="002162FA"/>
    <w:rsid w:val="00217169"/>
    <w:rsid w:val="00217AF4"/>
    <w:rsid w:val="00220003"/>
    <w:rsid w:val="00220B84"/>
    <w:rsid w:val="00221F89"/>
    <w:rsid w:val="002220F3"/>
    <w:rsid w:val="00222D71"/>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5DC"/>
    <w:rsid w:val="00243606"/>
    <w:rsid w:val="00243D42"/>
    <w:rsid w:val="002469D7"/>
    <w:rsid w:val="0024731A"/>
    <w:rsid w:val="00247AB3"/>
    <w:rsid w:val="002506B4"/>
    <w:rsid w:val="00250B57"/>
    <w:rsid w:val="00252057"/>
    <w:rsid w:val="00253B94"/>
    <w:rsid w:val="00253DD0"/>
    <w:rsid w:val="00253F40"/>
    <w:rsid w:val="002546A0"/>
    <w:rsid w:val="00255F10"/>
    <w:rsid w:val="00256F0A"/>
    <w:rsid w:val="002573AF"/>
    <w:rsid w:val="002609F7"/>
    <w:rsid w:val="00260B6C"/>
    <w:rsid w:val="00261C69"/>
    <w:rsid w:val="00262D66"/>
    <w:rsid w:val="00263A27"/>
    <w:rsid w:val="00263A6A"/>
    <w:rsid w:val="0026600C"/>
    <w:rsid w:val="0026679A"/>
    <w:rsid w:val="002668E6"/>
    <w:rsid w:val="00266C0D"/>
    <w:rsid w:val="00267119"/>
    <w:rsid w:val="0027067F"/>
    <w:rsid w:val="00270AFA"/>
    <w:rsid w:val="002731C0"/>
    <w:rsid w:val="0027451A"/>
    <w:rsid w:val="0027454B"/>
    <w:rsid w:val="00274907"/>
    <w:rsid w:val="002769BC"/>
    <w:rsid w:val="00276EF3"/>
    <w:rsid w:val="0028051B"/>
    <w:rsid w:val="0028231E"/>
    <w:rsid w:val="0028278F"/>
    <w:rsid w:val="00282D8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54B7"/>
    <w:rsid w:val="002A60B4"/>
    <w:rsid w:val="002A7283"/>
    <w:rsid w:val="002A7D02"/>
    <w:rsid w:val="002A7E54"/>
    <w:rsid w:val="002A7FA0"/>
    <w:rsid w:val="002B0A76"/>
    <w:rsid w:val="002B1266"/>
    <w:rsid w:val="002B2E26"/>
    <w:rsid w:val="002B44F0"/>
    <w:rsid w:val="002B47EF"/>
    <w:rsid w:val="002B5AFE"/>
    <w:rsid w:val="002B5B34"/>
    <w:rsid w:val="002B7527"/>
    <w:rsid w:val="002C109C"/>
    <w:rsid w:val="002C270C"/>
    <w:rsid w:val="002C570F"/>
    <w:rsid w:val="002D26C5"/>
    <w:rsid w:val="002D2F26"/>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4ED2"/>
    <w:rsid w:val="002E58DA"/>
    <w:rsid w:val="002E6BEC"/>
    <w:rsid w:val="002E75D8"/>
    <w:rsid w:val="002E78D3"/>
    <w:rsid w:val="002F08B7"/>
    <w:rsid w:val="002F0AD8"/>
    <w:rsid w:val="002F0F92"/>
    <w:rsid w:val="002F2F19"/>
    <w:rsid w:val="002F36C7"/>
    <w:rsid w:val="002F4048"/>
    <w:rsid w:val="002F4C3A"/>
    <w:rsid w:val="002F5163"/>
    <w:rsid w:val="002F61C3"/>
    <w:rsid w:val="002F6EEB"/>
    <w:rsid w:val="002F7A17"/>
    <w:rsid w:val="00301599"/>
    <w:rsid w:val="0030249D"/>
    <w:rsid w:val="003025FF"/>
    <w:rsid w:val="0030267F"/>
    <w:rsid w:val="00302FD9"/>
    <w:rsid w:val="00303102"/>
    <w:rsid w:val="003045C6"/>
    <w:rsid w:val="00305351"/>
    <w:rsid w:val="0030633C"/>
    <w:rsid w:val="003068A6"/>
    <w:rsid w:val="00310678"/>
    <w:rsid w:val="00310A77"/>
    <w:rsid w:val="00311A98"/>
    <w:rsid w:val="00311CCF"/>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05F1"/>
    <w:rsid w:val="00360C69"/>
    <w:rsid w:val="00361455"/>
    <w:rsid w:val="00362353"/>
    <w:rsid w:val="00362DC6"/>
    <w:rsid w:val="003630CD"/>
    <w:rsid w:val="003632F6"/>
    <w:rsid w:val="00363B44"/>
    <w:rsid w:val="00364368"/>
    <w:rsid w:val="00364A31"/>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52E"/>
    <w:rsid w:val="00376D6B"/>
    <w:rsid w:val="00377462"/>
    <w:rsid w:val="00377A17"/>
    <w:rsid w:val="00381D16"/>
    <w:rsid w:val="00382263"/>
    <w:rsid w:val="003826B9"/>
    <w:rsid w:val="00382923"/>
    <w:rsid w:val="003836E1"/>
    <w:rsid w:val="003836ED"/>
    <w:rsid w:val="003836FB"/>
    <w:rsid w:val="00383834"/>
    <w:rsid w:val="00383B11"/>
    <w:rsid w:val="00383E0C"/>
    <w:rsid w:val="00384701"/>
    <w:rsid w:val="00385805"/>
    <w:rsid w:val="00386876"/>
    <w:rsid w:val="00386F7E"/>
    <w:rsid w:val="00387FC6"/>
    <w:rsid w:val="00390BEC"/>
    <w:rsid w:val="0039148E"/>
    <w:rsid w:val="00391707"/>
    <w:rsid w:val="00391757"/>
    <w:rsid w:val="00391E0F"/>
    <w:rsid w:val="00391F35"/>
    <w:rsid w:val="00392057"/>
    <w:rsid w:val="0039452C"/>
    <w:rsid w:val="00396459"/>
    <w:rsid w:val="00396946"/>
    <w:rsid w:val="00397D5B"/>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4E53"/>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3FB"/>
    <w:rsid w:val="003D0EB1"/>
    <w:rsid w:val="003D208F"/>
    <w:rsid w:val="003D2098"/>
    <w:rsid w:val="003D276A"/>
    <w:rsid w:val="003D2B86"/>
    <w:rsid w:val="003D2FB0"/>
    <w:rsid w:val="003D34A0"/>
    <w:rsid w:val="003D3959"/>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17A28"/>
    <w:rsid w:val="00417F50"/>
    <w:rsid w:val="004214C2"/>
    <w:rsid w:val="0042288C"/>
    <w:rsid w:val="00423B39"/>
    <w:rsid w:val="00424403"/>
    <w:rsid w:val="00424740"/>
    <w:rsid w:val="00425B6F"/>
    <w:rsid w:val="0042668D"/>
    <w:rsid w:val="00427239"/>
    <w:rsid w:val="00431129"/>
    <w:rsid w:val="00431FC9"/>
    <w:rsid w:val="00433F26"/>
    <w:rsid w:val="00433FF8"/>
    <w:rsid w:val="004342AD"/>
    <w:rsid w:val="00434CC3"/>
    <w:rsid w:val="004353E1"/>
    <w:rsid w:val="00435846"/>
    <w:rsid w:val="00436A29"/>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25FD"/>
    <w:rsid w:val="00473F6F"/>
    <w:rsid w:val="00474704"/>
    <w:rsid w:val="00475793"/>
    <w:rsid w:val="00476136"/>
    <w:rsid w:val="00482B4C"/>
    <w:rsid w:val="00483316"/>
    <w:rsid w:val="00483B31"/>
    <w:rsid w:val="00483EC5"/>
    <w:rsid w:val="00484101"/>
    <w:rsid w:val="00484C73"/>
    <w:rsid w:val="00485FBD"/>
    <w:rsid w:val="00486F5A"/>
    <w:rsid w:val="00490214"/>
    <w:rsid w:val="00490D92"/>
    <w:rsid w:val="00490F2B"/>
    <w:rsid w:val="00491D49"/>
    <w:rsid w:val="004953D2"/>
    <w:rsid w:val="004954BE"/>
    <w:rsid w:val="00496188"/>
    <w:rsid w:val="00496509"/>
    <w:rsid w:val="004A103F"/>
    <w:rsid w:val="004A10E3"/>
    <w:rsid w:val="004A1852"/>
    <w:rsid w:val="004A19D3"/>
    <w:rsid w:val="004A3456"/>
    <w:rsid w:val="004A3757"/>
    <w:rsid w:val="004A3F6E"/>
    <w:rsid w:val="004A44CD"/>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D05"/>
    <w:rsid w:val="004C1D2B"/>
    <w:rsid w:val="004C204B"/>
    <w:rsid w:val="004C2151"/>
    <w:rsid w:val="004C2577"/>
    <w:rsid w:val="004C2ED6"/>
    <w:rsid w:val="004C402C"/>
    <w:rsid w:val="004C4134"/>
    <w:rsid w:val="004C4E6E"/>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28CD"/>
    <w:rsid w:val="004F30F5"/>
    <w:rsid w:val="004F49F1"/>
    <w:rsid w:val="004F59DC"/>
    <w:rsid w:val="004F70C3"/>
    <w:rsid w:val="005022DA"/>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1763"/>
    <w:rsid w:val="00522E35"/>
    <w:rsid w:val="0052414C"/>
    <w:rsid w:val="00524AC8"/>
    <w:rsid w:val="00526CAB"/>
    <w:rsid w:val="005279A5"/>
    <w:rsid w:val="00527A3F"/>
    <w:rsid w:val="00532ED9"/>
    <w:rsid w:val="00533D42"/>
    <w:rsid w:val="00533DD4"/>
    <w:rsid w:val="0053493A"/>
    <w:rsid w:val="00534A0C"/>
    <w:rsid w:val="00534A4C"/>
    <w:rsid w:val="00535FF6"/>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3568"/>
    <w:rsid w:val="00553820"/>
    <w:rsid w:val="005553BD"/>
    <w:rsid w:val="005554E7"/>
    <w:rsid w:val="00555A2A"/>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698"/>
    <w:rsid w:val="00565E54"/>
    <w:rsid w:val="005662FE"/>
    <w:rsid w:val="00566DCC"/>
    <w:rsid w:val="0056733E"/>
    <w:rsid w:val="005719AD"/>
    <w:rsid w:val="00572516"/>
    <w:rsid w:val="005726B6"/>
    <w:rsid w:val="00572A89"/>
    <w:rsid w:val="00572E4A"/>
    <w:rsid w:val="00573296"/>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1E5"/>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B720D"/>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5AD8"/>
    <w:rsid w:val="005D6378"/>
    <w:rsid w:val="005D7286"/>
    <w:rsid w:val="005E0DC2"/>
    <w:rsid w:val="005E218E"/>
    <w:rsid w:val="005E342E"/>
    <w:rsid w:val="005E4D14"/>
    <w:rsid w:val="005E6014"/>
    <w:rsid w:val="005E648C"/>
    <w:rsid w:val="005E76DA"/>
    <w:rsid w:val="005F0695"/>
    <w:rsid w:val="005F1196"/>
    <w:rsid w:val="005F1AA0"/>
    <w:rsid w:val="005F244C"/>
    <w:rsid w:val="005F24D5"/>
    <w:rsid w:val="005F393D"/>
    <w:rsid w:val="005F4236"/>
    <w:rsid w:val="005F4648"/>
    <w:rsid w:val="005F4F77"/>
    <w:rsid w:val="005F7BEE"/>
    <w:rsid w:val="0060159E"/>
    <w:rsid w:val="0060169E"/>
    <w:rsid w:val="00601AC8"/>
    <w:rsid w:val="00601D8A"/>
    <w:rsid w:val="0060269E"/>
    <w:rsid w:val="00603516"/>
    <w:rsid w:val="00603BEF"/>
    <w:rsid w:val="00604882"/>
    <w:rsid w:val="00604946"/>
    <w:rsid w:val="00604BE2"/>
    <w:rsid w:val="00604F80"/>
    <w:rsid w:val="0060530B"/>
    <w:rsid w:val="00607188"/>
    <w:rsid w:val="00607219"/>
    <w:rsid w:val="006073F8"/>
    <w:rsid w:val="0060788A"/>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37ED0"/>
    <w:rsid w:val="00641D53"/>
    <w:rsid w:val="00641E7D"/>
    <w:rsid w:val="00642C1B"/>
    <w:rsid w:val="00643296"/>
    <w:rsid w:val="006461BA"/>
    <w:rsid w:val="00646259"/>
    <w:rsid w:val="006467F9"/>
    <w:rsid w:val="006468BF"/>
    <w:rsid w:val="006470CC"/>
    <w:rsid w:val="006473CE"/>
    <w:rsid w:val="00650A93"/>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A92"/>
    <w:rsid w:val="00666C99"/>
    <w:rsid w:val="00667086"/>
    <w:rsid w:val="0066708D"/>
    <w:rsid w:val="006676D0"/>
    <w:rsid w:val="00667DA7"/>
    <w:rsid w:val="00667DCF"/>
    <w:rsid w:val="00670649"/>
    <w:rsid w:val="00670DD4"/>
    <w:rsid w:val="0067152D"/>
    <w:rsid w:val="00671D5B"/>
    <w:rsid w:val="00671F27"/>
    <w:rsid w:val="0067227E"/>
    <w:rsid w:val="00672BC2"/>
    <w:rsid w:val="00672C31"/>
    <w:rsid w:val="00673367"/>
    <w:rsid w:val="006745C6"/>
    <w:rsid w:val="00675171"/>
    <w:rsid w:val="00682D6A"/>
    <w:rsid w:val="00682DC3"/>
    <w:rsid w:val="00683021"/>
    <w:rsid w:val="0068456B"/>
    <w:rsid w:val="006846E4"/>
    <w:rsid w:val="006857F5"/>
    <w:rsid w:val="006860F9"/>
    <w:rsid w:val="006878EE"/>
    <w:rsid w:val="00690D6F"/>
    <w:rsid w:val="00691A55"/>
    <w:rsid w:val="00692E45"/>
    <w:rsid w:val="00692F01"/>
    <w:rsid w:val="00692F45"/>
    <w:rsid w:val="00693128"/>
    <w:rsid w:val="00693322"/>
    <w:rsid w:val="00695480"/>
    <w:rsid w:val="006954D8"/>
    <w:rsid w:val="00696286"/>
    <w:rsid w:val="006A10D7"/>
    <w:rsid w:val="006A1150"/>
    <w:rsid w:val="006A1369"/>
    <w:rsid w:val="006A4977"/>
    <w:rsid w:val="006A4D83"/>
    <w:rsid w:val="006A50E6"/>
    <w:rsid w:val="006A55B6"/>
    <w:rsid w:val="006A7BE8"/>
    <w:rsid w:val="006A7C05"/>
    <w:rsid w:val="006A7F83"/>
    <w:rsid w:val="006B0003"/>
    <w:rsid w:val="006B0D51"/>
    <w:rsid w:val="006B1423"/>
    <w:rsid w:val="006B18BB"/>
    <w:rsid w:val="006B1D17"/>
    <w:rsid w:val="006B4641"/>
    <w:rsid w:val="006B4A62"/>
    <w:rsid w:val="006B4D9D"/>
    <w:rsid w:val="006B695F"/>
    <w:rsid w:val="006B7B8B"/>
    <w:rsid w:val="006C0889"/>
    <w:rsid w:val="006C0C5C"/>
    <w:rsid w:val="006C0DAB"/>
    <w:rsid w:val="006C1633"/>
    <w:rsid w:val="006C1AC2"/>
    <w:rsid w:val="006C1EFD"/>
    <w:rsid w:val="006C22BF"/>
    <w:rsid w:val="006C2EC9"/>
    <w:rsid w:val="006C3564"/>
    <w:rsid w:val="006C383A"/>
    <w:rsid w:val="006C454B"/>
    <w:rsid w:val="006C47BB"/>
    <w:rsid w:val="006C49B5"/>
    <w:rsid w:val="006C4E93"/>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92C"/>
    <w:rsid w:val="006E5BDB"/>
    <w:rsid w:val="006E779F"/>
    <w:rsid w:val="006F007A"/>
    <w:rsid w:val="006F04DA"/>
    <w:rsid w:val="006F1847"/>
    <w:rsid w:val="006F1FB4"/>
    <w:rsid w:val="006F269B"/>
    <w:rsid w:val="006F294F"/>
    <w:rsid w:val="006F3372"/>
    <w:rsid w:val="006F35D3"/>
    <w:rsid w:val="006F59A4"/>
    <w:rsid w:val="006F5A93"/>
    <w:rsid w:val="006F5BED"/>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18D"/>
    <w:rsid w:val="0073568F"/>
    <w:rsid w:val="0073585B"/>
    <w:rsid w:val="007365A0"/>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3EB0"/>
    <w:rsid w:val="0074415A"/>
    <w:rsid w:val="0074603C"/>
    <w:rsid w:val="0074663A"/>
    <w:rsid w:val="00747392"/>
    <w:rsid w:val="00747967"/>
    <w:rsid w:val="007501EB"/>
    <w:rsid w:val="00750A9D"/>
    <w:rsid w:val="00751063"/>
    <w:rsid w:val="007514EE"/>
    <w:rsid w:val="00751A51"/>
    <w:rsid w:val="00751FE4"/>
    <w:rsid w:val="00752250"/>
    <w:rsid w:val="00752CA6"/>
    <w:rsid w:val="00753448"/>
    <w:rsid w:val="00754C03"/>
    <w:rsid w:val="0075590B"/>
    <w:rsid w:val="007563AB"/>
    <w:rsid w:val="00757450"/>
    <w:rsid w:val="00757BAD"/>
    <w:rsid w:val="0076165C"/>
    <w:rsid w:val="00761F55"/>
    <w:rsid w:val="00762362"/>
    <w:rsid w:val="007627EA"/>
    <w:rsid w:val="00762FC9"/>
    <w:rsid w:val="00764B5D"/>
    <w:rsid w:val="00764D00"/>
    <w:rsid w:val="00765404"/>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19CE"/>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0FD7"/>
    <w:rsid w:val="007A2134"/>
    <w:rsid w:val="007A28FB"/>
    <w:rsid w:val="007A2ABE"/>
    <w:rsid w:val="007A36FF"/>
    <w:rsid w:val="007A3E24"/>
    <w:rsid w:val="007A3F0F"/>
    <w:rsid w:val="007A4741"/>
    <w:rsid w:val="007A56AA"/>
    <w:rsid w:val="007A5D9A"/>
    <w:rsid w:val="007A7428"/>
    <w:rsid w:val="007B0776"/>
    <w:rsid w:val="007B1685"/>
    <w:rsid w:val="007B2F8F"/>
    <w:rsid w:val="007B2F96"/>
    <w:rsid w:val="007B39CA"/>
    <w:rsid w:val="007B45B0"/>
    <w:rsid w:val="007B45FF"/>
    <w:rsid w:val="007B5911"/>
    <w:rsid w:val="007C09E0"/>
    <w:rsid w:val="007C0F9C"/>
    <w:rsid w:val="007C168C"/>
    <w:rsid w:val="007C333E"/>
    <w:rsid w:val="007C39B0"/>
    <w:rsid w:val="007C4ACF"/>
    <w:rsid w:val="007C5493"/>
    <w:rsid w:val="007C5F1E"/>
    <w:rsid w:val="007C64EE"/>
    <w:rsid w:val="007C6F5B"/>
    <w:rsid w:val="007C722D"/>
    <w:rsid w:val="007C75B6"/>
    <w:rsid w:val="007D0E15"/>
    <w:rsid w:val="007D299D"/>
    <w:rsid w:val="007D2DB9"/>
    <w:rsid w:val="007D3320"/>
    <w:rsid w:val="007D356D"/>
    <w:rsid w:val="007D3E06"/>
    <w:rsid w:val="007D4B75"/>
    <w:rsid w:val="007D6BE6"/>
    <w:rsid w:val="007D6FB0"/>
    <w:rsid w:val="007D750B"/>
    <w:rsid w:val="007D7ACB"/>
    <w:rsid w:val="007E00EF"/>
    <w:rsid w:val="007E01C5"/>
    <w:rsid w:val="007E1180"/>
    <w:rsid w:val="007E14FA"/>
    <w:rsid w:val="007E1688"/>
    <w:rsid w:val="007E2AF1"/>
    <w:rsid w:val="007E2D12"/>
    <w:rsid w:val="007E436B"/>
    <w:rsid w:val="007E47A6"/>
    <w:rsid w:val="007F022D"/>
    <w:rsid w:val="007F0AFA"/>
    <w:rsid w:val="007F3FD7"/>
    <w:rsid w:val="007F5679"/>
    <w:rsid w:val="007F7004"/>
    <w:rsid w:val="00800910"/>
    <w:rsid w:val="00800E3B"/>
    <w:rsid w:val="0080125E"/>
    <w:rsid w:val="008018EB"/>
    <w:rsid w:val="00802BFE"/>
    <w:rsid w:val="00802DFF"/>
    <w:rsid w:val="00803AC0"/>
    <w:rsid w:val="00803C33"/>
    <w:rsid w:val="00806266"/>
    <w:rsid w:val="00807124"/>
    <w:rsid w:val="008076E7"/>
    <w:rsid w:val="008102BF"/>
    <w:rsid w:val="008142ED"/>
    <w:rsid w:val="0081525A"/>
    <w:rsid w:val="00815513"/>
    <w:rsid w:val="008163A2"/>
    <w:rsid w:val="00816BEB"/>
    <w:rsid w:val="00816DB0"/>
    <w:rsid w:val="00817403"/>
    <w:rsid w:val="0082009C"/>
    <w:rsid w:val="008206C4"/>
    <w:rsid w:val="00822241"/>
    <w:rsid w:val="00822564"/>
    <w:rsid w:val="00824550"/>
    <w:rsid w:val="00824ADB"/>
    <w:rsid w:val="00824EE4"/>
    <w:rsid w:val="00825861"/>
    <w:rsid w:val="00825DCB"/>
    <w:rsid w:val="00826321"/>
    <w:rsid w:val="00826C55"/>
    <w:rsid w:val="00826E7A"/>
    <w:rsid w:val="008305BC"/>
    <w:rsid w:val="00830658"/>
    <w:rsid w:val="00830C36"/>
    <w:rsid w:val="0083107E"/>
    <w:rsid w:val="00831D7D"/>
    <w:rsid w:val="00832655"/>
    <w:rsid w:val="00832956"/>
    <w:rsid w:val="00832C50"/>
    <w:rsid w:val="0083322F"/>
    <w:rsid w:val="0083359A"/>
    <w:rsid w:val="00833D03"/>
    <w:rsid w:val="00833DA7"/>
    <w:rsid w:val="008344F1"/>
    <w:rsid w:val="00834CFF"/>
    <w:rsid w:val="0083601C"/>
    <w:rsid w:val="00836060"/>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1373"/>
    <w:rsid w:val="008523CF"/>
    <w:rsid w:val="00852D46"/>
    <w:rsid w:val="0085355B"/>
    <w:rsid w:val="00854425"/>
    <w:rsid w:val="0085479C"/>
    <w:rsid w:val="008547B5"/>
    <w:rsid w:val="0085509F"/>
    <w:rsid w:val="00855196"/>
    <w:rsid w:val="00855BF9"/>
    <w:rsid w:val="00857251"/>
    <w:rsid w:val="00857456"/>
    <w:rsid w:val="00860956"/>
    <w:rsid w:val="00861907"/>
    <w:rsid w:val="0086317D"/>
    <w:rsid w:val="00863B88"/>
    <w:rsid w:val="00863EFC"/>
    <w:rsid w:val="00863F9B"/>
    <w:rsid w:val="00864238"/>
    <w:rsid w:val="0086509D"/>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C81"/>
    <w:rsid w:val="00881D53"/>
    <w:rsid w:val="0088274B"/>
    <w:rsid w:val="008830DA"/>
    <w:rsid w:val="00883AAE"/>
    <w:rsid w:val="00883BCE"/>
    <w:rsid w:val="0088426D"/>
    <w:rsid w:val="00885159"/>
    <w:rsid w:val="00885EC2"/>
    <w:rsid w:val="00890310"/>
    <w:rsid w:val="0089047B"/>
    <w:rsid w:val="00890B5B"/>
    <w:rsid w:val="0089111A"/>
    <w:rsid w:val="0089145A"/>
    <w:rsid w:val="008916AF"/>
    <w:rsid w:val="00891D96"/>
    <w:rsid w:val="00891DAA"/>
    <w:rsid w:val="008920BE"/>
    <w:rsid w:val="00892FA9"/>
    <w:rsid w:val="0089392B"/>
    <w:rsid w:val="00894024"/>
    <w:rsid w:val="0089466C"/>
    <w:rsid w:val="008952E7"/>
    <w:rsid w:val="008972E5"/>
    <w:rsid w:val="008A03C1"/>
    <w:rsid w:val="008A09EF"/>
    <w:rsid w:val="008A155F"/>
    <w:rsid w:val="008A1C14"/>
    <w:rsid w:val="008A32BF"/>
    <w:rsid w:val="008A48C7"/>
    <w:rsid w:val="008A4F8A"/>
    <w:rsid w:val="008A51F5"/>
    <w:rsid w:val="008A5316"/>
    <w:rsid w:val="008A54DE"/>
    <w:rsid w:val="008A57F3"/>
    <w:rsid w:val="008A5CA3"/>
    <w:rsid w:val="008A5CBF"/>
    <w:rsid w:val="008A60D3"/>
    <w:rsid w:val="008A6678"/>
    <w:rsid w:val="008B15C6"/>
    <w:rsid w:val="008B3510"/>
    <w:rsid w:val="008B49E6"/>
    <w:rsid w:val="008B55CB"/>
    <w:rsid w:val="008B6FA1"/>
    <w:rsid w:val="008B7EB8"/>
    <w:rsid w:val="008B7F41"/>
    <w:rsid w:val="008C201D"/>
    <w:rsid w:val="008C28D7"/>
    <w:rsid w:val="008C3C62"/>
    <w:rsid w:val="008C423E"/>
    <w:rsid w:val="008C4693"/>
    <w:rsid w:val="008C56E9"/>
    <w:rsid w:val="008C5C45"/>
    <w:rsid w:val="008C6E2D"/>
    <w:rsid w:val="008C755D"/>
    <w:rsid w:val="008C75DE"/>
    <w:rsid w:val="008C7763"/>
    <w:rsid w:val="008C7DC1"/>
    <w:rsid w:val="008D1070"/>
    <w:rsid w:val="008D2A6F"/>
    <w:rsid w:val="008D2C61"/>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E7D3A"/>
    <w:rsid w:val="008E7DDA"/>
    <w:rsid w:val="008F0A93"/>
    <w:rsid w:val="008F1272"/>
    <w:rsid w:val="008F199C"/>
    <w:rsid w:val="008F33A6"/>
    <w:rsid w:val="008F3852"/>
    <w:rsid w:val="008F48A6"/>
    <w:rsid w:val="008F62F2"/>
    <w:rsid w:val="008F63F4"/>
    <w:rsid w:val="008F6439"/>
    <w:rsid w:val="008F67B1"/>
    <w:rsid w:val="008F6BC9"/>
    <w:rsid w:val="008F6E67"/>
    <w:rsid w:val="008F723C"/>
    <w:rsid w:val="008F7DF7"/>
    <w:rsid w:val="008F7E38"/>
    <w:rsid w:val="0090186A"/>
    <w:rsid w:val="00901BDD"/>
    <w:rsid w:val="00903818"/>
    <w:rsid w:val="00903935"/>
    <w:rsid w:val="00903B2B"/>
    <w:rsid w:val="009057C8"/>
    <w:rsid w:val="00906D86"/>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266"/>
    <w:rsid w:val="009279D3"/>
    <w:rsid w:val="0093003B"/>
    <w:rsid w:val="009307DF"/>
    <w:rsid w:val="00930C89"/>
    <w:rsid w:val="00930DFE"/>
    <w:rsid w:val="00931BA7"/>
    <w:rsid w:val="00931C78"/>
    <w:rsid w:val="00931E24"/>
    <w:rsid w:val="00932840"/>
    <w:rsid w:val="00932F44"/>
    <w:rsid w:val="0093430A"/>
    <w:rsid w:val="00936E26"/>
    <w:rsid w:val="0093794D"/>
    <w:rsid w:val="00942A5B"/>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69E7"/>
    <w:rsid w:val="00967C8F"/>
    <w:rsid w:val="00967D30"/>
    <w:rsid w:val="00970724"/>
    <w:rsid w:val="00970D9A"/>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CB2"/>
    <w:rsid w:val="00987D74"/>
    <w:rsid w:val="00995560"/>
    <w:rsid w:val="00995FDC"/>
    <w:rsid w:val="00996A61"/>
    <w:rsid w:val="00996E14"/>
    <w:rsid w:val="009A046A"/>
    <w:rsid w:val="009A06CD"/>
    <w:rsid w:val="009A1BB7"/>
    <w:rsid w:val="009A321E"/>
    <w:rsid w:val="009A3EF2"/>
    <w:rsid w:val="009A4656"/>
    <w:rsid w:val="009A4BE6"/>
    <w:rsid w:val="009A4C38"/>
    <w:rsid w:val="009A5F08"/>
    <w:rsid w:val="009A6672"/>
    <w:rsid w:val="009A6E9B"/>
    <w:rsid w:val="009B088A"/>
    <w:rsid w:val="009B1242"/>
    <w:rsid w:val="009B4390"/>
    <w:rsid w:val="009B487D"/>
    <w:rsid w:val="009B4C71"/>
    <w:rsid w:val="009B5E7D"/>
    <w:rsid w:val="009B64B2"/>
    <w:rsid w:val="009B6838"/>
    <w:rsid w:val="009C0D8E"/>
    <w:rsid w:val="009C1CC2"/>
    <w:rsid w:val="009C278A"/>
    <w:rsid w:val="009C27C9"/>
    <w:rsid w:val="009C2D46"/>
    <w:rsid w:val="009C2D6B"/>
    <w:rsid w:val="009C4DCD"/>
    <w:rsid w:val="009C599F"/>
    <w:rsid w:val="009C60AE"/>
    <w:rsid w:val="009C6C4B"/>
    <w:rsid w:val="009C7778"/>
    <w:rsid w:val="009C7DCE"/>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7D"/>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0766C"/>
    <w:rsid w:val="00A1097E"/>
    <w:rsid w:val="00A10B8A"/>
    <w:rsid w:val="00A10C46"/>
    <w:rsid w:val="00A10E83"/>
    <w:rsid w:val="00A10E96"/>
    <w:rsid w:val="00A10E9D"/>
    <w:rsid w:val="00A10ED7"/>
    <w:rsid w:val="00A1112E"/>
    <w:rsid w:val="00A11C33"/>
    <w:rsid w:val="00A14EF4"/>
    <w:rsid w:val="00A1550D"/>
    <w:rsid w:val="00A169BE"/>
    <w:rsid w:val="00A16E08"/>
    <w:rsid w:val="00A2021D"/>
    <w:rsid w:val="00A2052D"/>
    <w:rsid w:val="00A20C17"/>
    <w:rsid w:val="00A21D12"/>
    <w:rsid w:val="00A21EDC"/>
    <w:rsid w:val="00A22119"/>
    <w:rsid w:val="00A2231F"/>
    <w:rsid w:val="00A231A6"/>
    <w:rsid w:val="00A2358E"/>
    <w:rsid w:val="00A23E64"/>
    <w:rsid w:val="00A2566F"/>
    <w:rsid w:val="00A25D80"/>
    <w:rsid w:val="00A2689E"/>
    <w:rsid w:val="00A27A11"/>
    <w:rsid w:val="00A27EF4"/>
    <w:rsid w:val="00A30926"/>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74E"/>
    <w:rsid w:val="00A36F9B"/>
    <w:rsid w:val="00A370BD"/>
    <w:rsid w:val="00A4066A"/>
    <w:rsid w:val="00A40869"/>
    <w:rsid w:val="00A420E3"/>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3CBB"/>
    <w:rsid w:val="00A65381"/>
    <w:rsid w:val="00A65F29"/>
    <w:rsid w:val="00A669D9"/>
    <w:rsid w:val="00A67926"/>
    <w:rsid w:val="00A70E3C"/>
    <w:rsid w:val="00A711D4"/>
    <w:rsid w:val="00A7124A"/>
    <w:rsid w:val="00A71B5C"/>
    <w:rsid w:val="00A72B2C"/>
    <w:rsid w:val="00A72D26"/>
    <w:rsid w:val="00A73571"/>
    <w:rsid w:val="00A73EEF"/>
    <w:rsid w:val="00A74A3C"/>
    <w:rsid w:val="00A74F4A"/>
    <w:rsid w:val="00A7603A"/>
    <w:rsid w:val="00A806E6"/>
    <w:rsid w:val="00A80ED4"/>
    <w:rsid w:val="00A8273E"/>
    <w:rsid w:val="00A8376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E82"/>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50C9"/>
    <w:rsid w:val="00AA65A6"/>
    <w:rsid w:val="00AA6D36"/>
    <w:rsid w:val="00AA706A"/>
    <w:rsid w:val="00AA73B7"/>
    <w:rsid w:val="00AA7F06"/>
    <w:rsid w:val="00AB010A"/>
    <w:rsid w:val="00AB1D3A"/>
    <w:rsid w:val="00AB2328"/>
    <w:rsid w:val="00AB3013"/>
    <w:rsid w:val="00AB3734"/>
    <w:rsid w:val="00AB3BE3"/>
    <w:rsid w:val="00AB52D7"/>
    <w:rsid w:val="00AB6010"/>
    <w:rsid w:val="00AB611F"/>
    <w:rsid w:val="00AB65EE"/>
    <w:rsid w:val="00AB6ED7"/>
    <w:rsid w:val="00AC0709"/>
    <w:rsid w:val="00AC08E7"/>
    <w:rsid w:val="00AC1132"/>
    <w:rsid w:val="00AC13D6"/>
    <w:rsid w:val="00AC1D37"/>
    <w:rsid w:val="00AC2B7B"/>
    <w:rsid w:val="00AC38E5"/>
    <w:rsid w:val="00AC5A71"/>
    <w:rsid w:val="00AC5DB5"/>
    <w:rsid w:val="00AC611F"/>
    <w:rsid w:val="00AC6A1B"/>
    <w:rsid w:val="00AC7B2D"/>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3C5"/>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2EF5"/>
    <w:rsid w:val="00B23965"/>
    <w:rsid w:val="00B23EA8"/>
    <w:rsid w:val="00B23EE5"/>
    <w:rsid w:val="00B247A5"/>
    <w:rsid w:val="00B254C2"/>
    <w:rsid w:val="00B25D8C"/>
    <w:rsid w:val="00B26365"/>
    <w:rsid w:val="00B26B50"/>
    <w:rsid w:val="00B30693"/>
    <w:rsid w:val="00B30D3E"/>
    <w:rsid w:val="00B30E02"/>
    <w:rsid w:val="00B33DD9"/>
    <w:rsid w:val="00B3620D"/>
    <w:rsid w:val="00B36366"/>
    <w:rsid w:val="00B3636C"/>
    <w:rsid w:val="00B369A5"/>
    <w:rsid w:val="00B37337"/>
    <w:rsid w:val="00B402D4"/>
    <w:rsid w:val="00B404EB"/>
    <w:rsid w:val="00B41E2F"/>
    <w:rsid w:val="00B424A4"/>
    <w:rsid w:val="00B4264B"/>
    <w:rsid w:val="00B4296B"/>
    <w:rsid w:val="00B4331A"/>
    <w:rsid w:val="00B43457"/>
    <w:rsid w:val="00B43DEE"/>
    <w:rsid w:val="00B44281"/>
    <w:rsid w:val="00B44840"/>
    <w:rsid w:val="00B44B2B"/>
    <w:rsid w:val="00B4599B"/>
    <w:rsid w:val="00B476A0"/>
    <w:rsid w:val="00B5123F"/>
    <w:rsid w:val="00B52562"/>
    <w:rsid w:val="00B53641"/>
    <w:rsid w:val="00B53DA9"/>
    <w:rsid w:val="00B548C6"/>
    <w:rsid w:val="00B55E5C"/>
    <w:rsid w:val="00B5664B"/>
    <w:rsid w:val="00B57207"/>
    <w:rsid w:val="00B574F9"/>
    <w:rsid w:val="00B5786F"/>
    <w:rsid w:val="00B611F7"/>
    <w:rsid w:val="00B62283"/>
    <w:rsid w:val="00B62E3E"/>
    <w:rsid w:val="00B64412"/>
    <w:rsid w:val="00B65A38"/>
    <w:rsid w:val="00B65F0A"/>
    <w:rsid w:val="00B6667F"/>
    <w:rsid w:val="00B66B00"/>
    <w:rsid w:val="00B66C91"/>
    <w:rsid w:val="00B67A07"/>
    <w:rsid w:val="00B706AB"/>
    <w:rsid w:val="00B73064"/>
    <w:rsid w:val="00B7315F"/>
    <w:rsid w:val="00B7337E"/>
    <w:rsid w:val="00B73AB6"/>
    <w:rsid w:val="00B741D0"/>
    <w:rsid w:val="00B74B18"/>
    <w:rsid w:val="00B75308"/>
    <w:rsid w:val="00B75822"/>
    <w:rsid w:val="00B75BCE"/>
    <w:rsid w:val="00B763DC"/>
    <w:rsid w:val="00B76B80"/>
    <w:rsid w:val="00B77677"/>
    <w:rsid w:val="00B8099D"/>
    <w:rsid w:val="00B80CBD"/>
    <w:rsid w:val="00B813E5"/>
    <w:rsid w:val="00B83013"/>
    <w:rsid w:val="00B839AD"/>
    <w:rsid w:val="00B84ABA"/>
    <w:rsid w:val="00B850E9"/>
    <w:rsid w:val="00B90239"/>
    <w:rsid w:val="00B90852"/>
    <w:rsid w:val="00B91043"/>
    <w:rsid w:val="00B9139C"/>
    <w:rsid w:val="00B92162"/>
    <w:rsid w:val="00B933D1"/>
    <w:rsid w:val="00B93870"/>
    <w:rsid w:val="00B93B76"/>
    <w:rsid w:val="00B94BC5"/>
    <w:rsid w:val="00B94D0F"/>
    <w:rsid w:val="00B95791"/>
    <w:rsid w:val="00B95EFC"/>
    <w:rsid w:val="00B9674C"/>
    <w:rsid w:val="00B97831"/>
    <w:rsid w:val="00B97C1B"/>
    <w:rsid w:val="00BA1A80"/>
    <w:rsid w:val="00BA4430"/>
    <w:rsid w:val="00BA4695"/>
    <w:rsid w:val="00BA47C6"/>
    <w:rsid w:val="00BA4AF7"/>
    <w:rsid w:val="00BA4FE7"/>
    <w:rsid w:val="00BA5E5C"/>
    <w:rsid w:val="00BA7339"/>
    <w:rsid w:val="00BA7349"/>
    <w:rsid w:val="00BB0427"/>
    <w:rsid w:val="00BB31EA"/>
    <w:rsid w:val="00BB34EE"/>
    <w:rsid w:val="00BB6D13"/>
    <w:rsid w:val="00BB75D3"/>
    <w:rsid w:val="00BB7875"/>
    <w:rsid w:val="00BC0EBE"/>
    <w:rsid w:val="00BC593D"/>
    <w:rsid w:val="00BC62ED"/>
    <w:rsid w:val="00BC6640"/>
    <w:rsid w:val="00BC6B0F"/>
    <w:rsid w:val="00BC735E"/>
    <w:rsid w:val="00BC7FD0"/>
    <w:rsid w:val="00BD072A"/>
    <w:rsid w:val="00BD09BA"/>
    <w:rsid w:val="00BD0F3E"/>
    <w:rsid w:val="00BD10E8"/>
    <w:rsid w:val="00BD1211"/>
    <w:rsid w:val="00BD1C30"/>
    <w:rsid w:val="00BD24BC"/>
    <w:rsid w:val="00BD27F0"/>
    <w:rsid w:val="00BD3EA9"/>
    <w:rsid w:val="00BD43AE"/>
    <w:rsid w:val="00BD48F4"/>
    <w:rsid w:val="00BD5595"/>
    <w:rsid w:val="00BD5B84"/>
    <w:rsid w:val="00BD5CCC"/>
    <w:rsid w:val="00BD678F"/>
    <w:rsid w:val="00BD7CFB"/>
    <w:rsid w:val="00BE089D"/>
    <w:rsid w:val="00BE1317"/>
    <w:rsid w:val="00BE1F07"/>
    <w:rsid w:val="00BE2902"/>
    <w:rsid w:val="00BE3E0F"/>
    <w:rsid w:val="00BE4077"/>
    <w:rsid w:val="00BE5050"/>
    <w:rsid w:val="00BE5367"/>
    <w:rsid w:val="00BE55A2"/>
    <w:rsid w:val="00BE619F"/>
    <w:rsid w:val="00BE7F25"/>
    <w:rsid w:val="00BE7FF0"/>
    <w:rsid w:val="00BF0089"/>
    <w:rsid w:val="00BF0FCB"/>
    <w:rsid w:val="00BF0FE5"/>
    <w:rsid w:val="00BF1873"/>
    <w:rsid w:val="00BF1B43"/>
    <w:rsid w:val="00BF235E"/>
    <w:rsid w:val="00BF290B"/>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E3C"/>
    <w:rsid w:val="00C07068"/>
    <w:rsid w:val="00C117A3"/>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511E"/>
    <w:rsid w:val="00C45EEF"/>
    <w:rsid w:val="00C45FD9"/>
    <w:rsid w:val="00C461FA"/>
    <w:rsid w:val="00C476DD"/>
    <w:rsid w:val="00C51770"/>
    <w:rsid w:val="00C51EA2"/>
    <w:rsid w:val="00C54509"/>
    <w:rsid w:val="00C5567D"/>
    <w:rsid w:val="00C55B4C"/>
    <w:rsid w:val="00C56EDA"/>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4A89"/>
    <w:rsid w:val="00C756C1"/>
    <w:rsid w:val="00C75F7A"/>
    <w:rsid w:val="00C769D0"/>
    <w:rsid w:val="00C77264"/>
    <w:rsid w:val="00C83120"/>
    <w:rsid w:val="00C842C2"/>
    <w:rsid w:val="00C84BEB"/>
    <w:rsid w:val="00C863A9"/>
    <w:rsid w:val="00C865D0"/>
    <w:rsid w:val="00C86B3F"/>
    <w:rsid w:val="00C870D1"/>
    <w:rsid w:val="00C901FD"/>
    <w:rsid w:val="00C90671"/>
    <w:rsid w:val="00C90D61"/>
    <w:rsid w:val="00C93AC8"/>
    <w:rsid w:val="00C96B06"/>
    <w:rsid w:val="00C96B6C"/>
    <w:rsid w:val="00CA0757"/>
    <w:rsid w:val="00CA3CE4"/>
    <w:rsid w:val="00CA441D"/>
    <w:rsid w:val="00CA4B49"/>
    <w:rsid w:val="00CA52B2"/>
    <w:rsid w:val="00CA592E"/>
    <w:rsid w:val="00CA5DB7"/>
    <w:rsid w:val="00CA6471"/>
    <w:rsid w:val="00CA67E5"/>
    <w:rsid w:val="00CA6804"/>
    <w:rsid w:val="00CA6B23"/>
    <w:rsid w:val="00CA6D8E"/>
    <w:rsid w:val="00CA73A2"/>
    <w:rsid w:val="00CA7BFA"/>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18"/>
    <w:rsid w:val="00CD6284"/>
    <w:rsid w:val="00CD78F3"/>
    <w:rsid w:val="00CD7F87"/>
    <w:rsid w:val="00CE0380"/>
    <w:rsid w:val="00CE076C"/>
    <w:rsid w:val="00CE0966"/>
    <w:rsid w:val="00CE15E3"/>
    <w:rsid w:val="00CE2F04"/>
    <w:rsid w:val="00CE4863"/>
    <w:rsid w:val="00CE5EF5"/>
    <w:rsid w:val="00CE7856"/>
    <w:rsid w:val="00CF09BB"/>
    <w:rsid w:val="00CF0E43"/>
    <w:rsid w:val="00CF4F38"/>
    <w:rsid w:val="00CF5592"/>
    <w:rsid w:val="00CF55E1"/>
    <w:rsid w:val="00CF591A"/>
    <w:rsid w:val="00CF5B25"/>
    <w:rsid w:val="00CF62F9"/>
    <w:rsid w:val="00D002F6"/>
    <w:rsid w:val="00D00D74"/>
    <w:rsid w:val="00D02AA1"/>
    <w:rsid w:val="00D03333"/>
    <w:rsid w:val="00D03F9F"/>
    <w:rsid w:val="00D069EA"/>
    <w:rsid w:val="00D06D1C"/>
    <w:rsid w:val="00D0708A"/>
    <w:rsid w:val="00D10477"/>
    <w:rsid w:val="00D104AA"/>
    <w:rsid w:val="00D12A3D"/>
    <w:rsid w:val="00D12A8D"/>
    <w:rsid w:val="00D13D37"/>
    <w:rsid w:val="00D1500D"/>
    <w:rsid w:val="00D1529B"/>
    <w:rsid w:val="00D15DBA"/>
    <w:rsid w:val="00D16273"/>
    <w:rsid w:val="00D171C5"/>
    <w:rsid w:val="00D179E4"/>
    <w:rsid w:val="00D17AB7"/>
    <w:rsid w:val="00D20B6E"/>
    <w:rsid w:val="00D213FB"/>
    <w:rsid w:val="00D2291C"/>
    <w:rsid w:val="00D237E0"/>
    <w:rsid w:val="00D2454B"/>
    <w:rsid w:val="00D25667"/>
    <w:rsid w:val="00D25884"/>
    <w:rsid w:val="00D25A86"/>
    <w:rsid w:val="00D25AFC"/>
    <w:rsid w:val="00D25D53"/>
    <w:rsid w:val="00D277DB"/>
    <w:rsid w:val="00D278B3"/>
    <w:rsid w:val="00D301D4"/>
    <w:rsid w:val="00D303CC"/>
    <w:rsid w:val="00D308A9"/>
    <w:rsid w:val="00D33D5C"/>
    <w:rsid w:val="00D3433C"/>
    <w:rsid w:val="00D346FB"/>
    <w:rsid w:val="00D356B4"/>
    <w:rsid w:val="00D357EC"/>
    <w:rsid w:val="00D366EA"/>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000"/>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43B"/>
    <w:rsid w:val="00D95CFB"/>
    <w:rsid w:val="00D973D0"/>
    <w:rsid w:val="00D97F03"/>
    <w:rsid w:val="00DA0267"/>
    <w:rsid w:val="00DA0475"/>
    <w:rsid w:val="00DA3755"/>
    <w:rsid w:val="00DA61A6"/>
    <w:rsid w:val="00DA6B40"/>
    <w:rsid w:val="00DA6B64"/>
    <w:rsid w:val="00DA7401"/>
    <w:rsid w:val="00DB0B30"/>
    <w:rsid w:val="00DB0DC7"/>
    <w:rsid w:val="00DB1DAD"/>
    <w:rsid w:val="00DB305E"/>
    <w:rsid w:val="00DB3905"/>
    <w:rsid w:val="00DB4862"/>
    <w:rsid w:val="00DB5244"/>
    <w:rsid w:val="00DB5BE2"/>
    <w:rsid w:val="00DB76BF"/>
    <w:rsid w:val="00DB7D63"/>
    <w:rsid w:val="00DC0656"/>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DD9"/>
    <w:rsid w:val="00DE317D"/>
    <w:rsid w:val="00DE4857"/>
    <w:rsid w:val="00DE580F"/>
    <w:rsid w:val="00DE76E9"/>
    <w:rsid w:val="00DE770F"/>
    <w:rsid w:val="00DF0DD0"/>
    <w:rsid w:val="00DF11D1"/>
    <w:rsid w:val="00DF13A7"/>
    <w:rsid w:val="00DF1812"/>
    <w:rsid w:val="00DF2123"/>
    <w:rsid w:val="00DF2353"/>
    <w:rsid w:val="00DF2388"/>
    <w:rsid w:val="00DF24DD"/>
    <w:rsid w:val="00DF277F"/>
    <w:rsid w:val="00DF27D5"/>
    <w:rsid w:val="00DF29CD"/>
    <w:rsid w:val="00DF2F9D"/>
    <w:rsid w:val="00DF4495"/>
    <w:rsid w:val="00DF66A6"/>
    <w:rsid w:val="00DF7335"/>
    <w:rsid w:val="00E02FD2"/>
    <w:rsid w:val="00E031C1"/>
    <w:rsid w:val="00E037C3"/>
    <w:rsid w:val="00E03CC9"/>
    <w:rsid w:val="00E0498B"/>
    <w:rsid w:val="00E04A67"/>
    <w:rsid w:val="00E04AFF"/>
    <w:rsid w:val="00E057FD"/>
    <w:rsid w:val="00E0652C"/>
    <w:rsid w:val="00E06BE6"/>
    <w:rsid w:val="00E1128A"/>
    <w:rsid w:val="00E116C4"/>
    <w:rsid w:val="00E11A66"/>
    <w:rsid w:val="00E11FDE"/>
    <w:rsid w:val="00E12A64"/>
    <w:rsid w:val="00E12F7E"/>
    <w:rsid w:val="00E132B8"/>
    <w:rsid w:val="00E13618"/>
    <w:rsid w:val="00E138E1"/>
    <w:rsid w:val="00E13F35"/>
    <w:rsid w:val="00E14BDF"/>
    <w:rsid w:val="00E1525C"/>
    <w:rsid w:val="00E16427"/>
    <w:rsid w:val="00E1696A"/>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543"/>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0EE6"/>
    <w:rsid w:val="00E71197"/>
    <w:rsid w:val="00E71CB1"/>
    <w:rsid w:val="00E722F1"/>
    <w:rsid w:val="00E7282C"/>
    <w:rsid w:val="00E7321A"/>
    <w:rsid w:val="00E733DB"/>
    <w:rsid w:val="00E741AE"/>
    <w:rsid w:val="00E77E39"/>
    <w:rsid w:val="00E8064F"/>
    <w:rsid w:val="00E8086C"/>
    <w:rsid w:val="00E8115F"/>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460B"/>
    <w:rsid w:val="00EA523E"/>
    <w:rsid w:val="00EA542B"/>
    <w:rsid w:val="00EA6F3F"/>
    <w:rsid w:val="00EA7F92"/>
    <w:rsid w:val="00EB102E"/>
    <w:rsid w:val="00EB110F"/>
    <w:rsid w:val="00EB2FC5"/>
    <w:rsid w:val="00EB3729"/>
    <w:rsid w:val="00EB3ABD"/>
    <w:rsid w:val="00EB44EA"/>
    <w:rsid w:val="00EB672E"/>
    <w:rsid w:val="00EB70C8"/>
    <w:rsid w:val="00EB7D72"/>
    <w:rsid w:val="00EC0111"/>
    <w:rsid w:val="00EC0B5B"/>
    <w:rsid w:val="00EC0DA7"/>
    <w:rsid w:val="00EC18E7"/>
    <w:rsid w:val="00EC1C1F"/>
    <w:rsid w:val="00EC1E37"/>
    <w:rsid w:val="00EC1E3E"/>
    <w:rsid w:val="00EC1EEB"/>
    <w:rsid w:val="00EC35B9"/>
    <w:rsid w:val="00EC3CA7"/>
    <w:rsid w:val="00EC64C9"/>
    <w:rsid w:val="00EC6E03"/>
    <w:rsid w:val="00EC6E8A"/>
    <w:rsid w:val="00EC7201"/>
    <w:rsid w:val="00EC7C30"/>
    <w:rsid w:val="00ED0002"/>
    <w:rsid w:val="00ED1053"/>
    <w:rsid w:val="00ED1EB0"/>
    <w:rsid w:val="00ED2BCA"/>
    <w:rsid w:val="00ED3F3C"/>
    <w:rsid w:val="00ED7015"/>
    <w:rsid w:val="00ED736F"/>
    <w:rsid w:val="00EE0CBA"/>
    <w:rsid w:val="00EE2643"/>
    <w:rsid w:val="00EE2793"/>
    <w:rsid w:val="00EE5D49"/>
    <w:rsid w:val="00EE6052"/>
    <w:rsid w:val="00EE6294"/>
    <w:rsid w:val="00EF0186"/>
    <w:rsid w:val="00EF0747"/>
    <w:rsid w:val="00EF0DF8"/>
    <w:rsid w:val="00EF2E1B"/>
    <w:rsid w:val="00EF3679"/>
    <w:rsid w:val="00EF5DA4"/>
    <w:rsid w:val="00EF6051"/>
    <w:rsid w:val="00EF77C8"/>
    <w:rsid w:val="00F005EB"/>
    <w:rsid w:val="00F006E3"/>
    <w:rsid w:val="00F00D71"/>
    <w:rsid w:val="00F01CAB"/>
    <w:rsid w:val="00F02590"/>
    <w:rsid w:val="00F0339C"/>
    <w:rsid w:val="00F0387C"/>
    <w:rsid w:val="00F04451"/>
    <w:rsid w:val="00F04748"/>
    <w:rsid w:val="00F06604"/>
    <w:rsid w:val="00F06A28"/>
    <w:rsid w:val="00F0702E"/>
    <w:rsid w:val="00F079E1"/>
    <w:rsid w:val="00F10C86"/>
    <w:rsid w:val="00F11077"/>
    <w:rsid w:val="00F11334"/>
    <w:rsid w:val="00F11C7C"/>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D97"/>
    <w:rsid w:val="00F44F2E"/>
    <w:rsid w:val="00F45544"/>
    <w:rsid w:val="00F4560A"/>
    <w:rsid w:val="00F46B34"/>
    <w:rsid w:val="00F472B1"/>
    <w:rsid w:val="00F5101B"/>
    <w:rsid w:val="00F52E0B"/>
    <w:rsid w:val="00F52E29"/>
    <w:rsid w:val="00F53467"/>
    <w:rsid w:val="00F5445F"/>
    <w:rsid w:val="00F54CDB"/>
    <w:rsid w:val="00F558D0"/>
    <w:rsid w:val="00F56486"/>
    <w:rsid w:val="00F57009"/>
    <w:rsid w:val="00F57143"/>
    <w:rsid w:val="00F57D96"/>
    <w:rsid w:val="00F57ECA"/>
    <w:rsid w:val="00F60940"/>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7727F"/>
    <w:rsid w:val="00F81C80"/>
    <w:rsid w:val="00F82CCC"/>
    <w:rsid w:val="00F83080"/>
    <w:rsid w:val="00F834A8"/>
    <w:rsid w:val="00F850F9"/>
    <w:rsid w:val="00F85A94"/>
    <w:rsid w:val="00F85FEE"/>
    <w:rsid w:val="00F8693B"/>
    <w:rsid w:val="00F86BE1"/>
    <w:rsid w:val="00F87842"/>
    <w:rsid w:val="00F901AA"/>
    <w:rsid w:val="00F905A3"/>
    <w:rsid w:val="00F9095A"/>
    <w:rsid w:val="00F9121E"/>
    <w:rsid w:val="00F919A9"/>
    <w:rsid w:val="00F91CC1"/>
    <w:rsid w:val="00F9233D"/>
    <w:rsid w:val="00F9264B"/>
    <w:rsid w:val="00F94125"/>
    <w:rsid w:val="00F951A1"/>
    <w:rsid w:val="00F970DE"/>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3BFF"/>
    <w:rsid w:val="00FC455A"/>
    <w:rsid w:val="00FC5106"/>
    <w:rsid w:val="00FC5BDE"/>
    <w:rsid w:val="00FC5FEC"/>
    <w:rsid w:val="00FC6D32"/>
    <w:rsid w:val="00FC6E3D"/>
    <w:rsid w:val="00FC7877"/>
    <w:rsid w:val="00FD11BB"/>
    <w:rsid w:val="00FD1BEB"/>
    <w:rsid w:val="00FD2743"/>
    <w:rsid w:val="00FD2774"/>
    <w:rsid w:val="00FD29DB"/>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3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iPriority w:val="35"/>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34694942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62216376">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HR33RHYHUWRF-4-4979</_dlc_DocId>
    <_dlc_DocIdUrl xmlns="c06861ca-3f08-4d07-bff7-bb15bac121f4">
      <Url>https://projects.qualcomm.com/sites/pentari/_layouts/15/DocIdRedir.aspx?ID=HR33RHYHUWRF-4-4979</Url>
      <Description>HR33RHYHUWRF-4-4979</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2.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5.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6.xml><?xml version="1.0" encoding="utf-8"?>
<ds:datastoreItem xmlns:ds="http://schemas.openxmlformats.org/officeDocument/2006/customXml" ds:itemID="{2AD592E1-D6E7-4B9A-A3FA-AD8DDA1D9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7</Pages>
  <Words>2597</Words>
  <Characters>14804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Haitong</cp:lastModifiedBy>
  <cp:revision>142</cp:revision>
  <cp:lastPrinted>2003-09-26T19:29:00Z</cp:lastPrinted>
  <dcterms:created xsi:type="dcterms:W3CDTF">2017-06-15T17:19:00Z</dcterms:created>
  <dcterms:modified xsi:type="dcterms:W3CDTF">2017-06-17T03:54:00Z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HR33RHYHUWRF-13-111093</vt:lpwstr>
  </property>
  <property fmtid="{D5CDD505-2E9C-101B-9397-08002B2CF9AE}" pid="3" name="_dlc_DocIdItemGuid">
    <vt:lpwstr>b67d0521-641a-4610-b451-1c787ccb355d</vt:lpwstr>
  </property>
  <property fmtid="{D5CDD505-2E9C-101B-9397-08002B2CF9AE}" pid="4" name="_dlc_DocIdUrl">
    <vt:lpwstr>https://projects.qualcomm.com/sites/pentari/_layouts/15/DocIdRedir.aspx?ID=HR33RHYHUWRF-13-111093, HR33RHYHUWRF-13-111093</vt:lpwstr>
  </property>
  <property fmtid="{D5CDD505-2E9C-101B-9397-08002B2CF9AE}" pid="5" name="ContentTypeId">
    <vt:lpwstr>0x010100BC29BFD66497B943AA3B102F0C7B1355</vt:lpwstr>
  </property>
</Properties>
</file>